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2" w:lineRule="auto"/>
        <w:rPr>
          <w:rFonts w:ascii="楷体_GB2312" w:hAnsi="楷体_GB2312" w:eastAsia="楷体_GB2312" w:cs="楷体_GB2312"/>
          <w:color w:val="auto"/>
        </w:rPr>
      </w:pPr>
    </w:p>
    <w:p>
      <w:pPr>
        <w:spacing w:line="292" w:lineRule="auto"/>
        <w:rPr>
          <w:rFonts w:ascii="楷体_GB2312" w:hAnsi="楷体_GB2312" w:eastAsia="楷体_GB2312" w:cs="楷体_GB2312"/>
          <w:color w:val="auto"/>
        </w:rPr>
      </w:pPr>
    </w:p>
    <w:p>
      <w:pPr>
        <w:spacing w:line="292" w:lineRule="auto"/>
        <w:rPr>
          <w:rFonts w:ascii="楷体_GB2312" w:hAnsi="楷体_GB2312" w:eastAsia="楷体_GB2312" w:cs="楷体_GB2312"/>
          <w:color w:val="auto"/>
        </w:rPr>
      </w:pPr>
    </w:p>
    <w:p>
      <w:pPr>
        <w:spacing w:line="292" w:lineRule="auto"/>
        <w:rPr>
          <w:rFonts w:ascii="方正小标宋简体" w:hAnsi="方正小标宋简体" w:eastAsia="方正小标宋简体" w:cs="方正小标宋简体"/>
          <w:color w:val="auto"/>
        </w:rPr>
      </w:pPr>
    </w:p>
    <w:p>
      <w:pPr>
        <w:jc w:val="center"/>
        <w:rPr>
          <w:rFonts w:hint="eastAsia" w:ascii="方正小标宋_GBK" w:hAnsi="方正小标宋_GBK" w:eastAsia="方正小标宋_GBK" w:cs="方正小标宋_GBK"/>
          <w:color w:val="auto"/>
          <w:sz w:val="56"/>
          <w:szCs w:val="56"/>
          <w:lang w:eastAsia="zh-CN"/>
        </w:rPr>
      </w:pPr>
      <w:r>
        <w:rPr>
          <w:rFonts w:hint="eastAsia" w:ascii="方正小标宋_GBK" w:hAnsi="方正小标宋_GBK" w:eastAsia="方正小标宋_GBK" w:cs="方正小标宋_GBK"/>
          <w:color w:val="auto"/>
          <w:sz w:val="56"/>
          <w:szCs w:val="56"/>
          <w:lang w:eastAsia="zh-CN"/>
        </w:rPr>
        <w:t>广州市二级康复专科医院</w:t>
      </w:r>
    </w:p>
    <w:p>
      <w:pPr>
        <w:jc w:val="center"/>
        <w:rPr>
          <w:rFonts w:hint="eastAsia" w:ascii="方正小标宋_GBK" w:hAnsi="方正小标宋_GBK" w:eastAsia="方正小标宋_GBK" w:cs="方正小标宋_GBK"/>
          <w:color w:val="auto"/>
          <w:sz w:val="56"/>
          <w:szCs w:val="56"/>
          <w:lang w:eastAsia="zh-CN"/>
        </w:rPr>
      </w:pPr>
      <w:r>
        <w:rPr>
          <w:rFonts w:hint="eastAsia" w:ascii="方正小标宋_GBK" w:hAnsi="方正小标宋_GBK" w:eastAsia="方正小标宋_GBK" w:cs="方正小标宋_GBK"/>
          <w:color w:val="auto"/>
          <w:sz w:val="56"/>
          <w:szCs w:val="56"/>
          <w:lang w:eastAsia="zh-CN"/>
        </w:rPr>
        <w:t>评审标准及实施细则</w:t>
      </w:r>
    </w:p>
    <w:p>
      <w:pPr>
        <w:jc w:val="center"/>
        <w:rPr>
          <w:rFonts w:hint="eastAsia" w:ascii="方正小标宋_GBK" w:hAnsi="方正小标宋_GBK" w:eastAsia="方正小标宋_GBK" w:cs="方正小标宋_GBK"/>
          <w:color w:val="auto"/>
          <w:sz w:val="56"/>
          <w:szCs w:val="56"/>
          <w:lang w:eastAsia="zh-CN"/>
        </w:rPr>
      </w:pPr>
      <w:r>
        <w:rPr>
          <w:rFonts w:hint="eastAsia" w:ascii="方正小标宋_GBK" w:hAnsi="方正小标宋_GBK" w:eastAsia="方正小标宋_GBK" w:cs="方正小标宋_GBK"/>
          <w:color w:val="auto"/>
          <w:sz w:val="56"/>
          <w:szCs w:val="56"/>
          <w:lang w:eastAsia="zh-CN"/>
        </w:rPr>
        <w:t>（2022年版）</w:t>
      </w:r>
    </w:p>
    <w:p>
      <w:pPr>
        <w:spacing w:before="169" w:line="360" w:lineRule="auto"/>
        <w:ind w:left="28"/>
        <w:jc w:val="center"/>
        <w:rPr>
          <w:rFonts w:hint="eastAsia" w:ascii="方正小标宋_GBK" w:hAnsi="方正小标宋_GBK" w:eastAsia="方正小标宋_GBK" w:cs="方正小标宋_GBK"/>
          <w:color w:val="auto"/>
          <w:sz w:val="56"/>
          <w:szCs w:val="56"/>
          <w:lang w:eastAsia="zh-CN"/>
        </w:rPr>
      </w:pPr>
    </w:p>
    <w:p>
      <w:pPr>
        <w:spacing w:before="169" w:line="360" w:lineRule="auto"/>
        <w:ind w:left="28"/>
        <w:jc w:val="center"/>
        <w:rPr>
          <w:rFonts w:ascii="方正小标宋简体" w:hAnsi="方正小标宋简体" w:eastAsia="方正小标宋简体" w:cs="方正小标宋简体"/>
          <w:color w:val="auto"/>
          <w:sz w:val="56"/>
          <w:szCs w:val="56"/>
          <w:lang w:eastAsia="zh-CN"/>
        </w:rPr>
      </w:pPr>
    </w:p>
    <w:p>
      <w:pPr>
        <w:spacing w:before="169" w:line="360" w:lineRule="auto"/>
        <w:jc w:val="both"/>
        <w:rPr>
          <w:rFonts w:hint="eastAsia" w:ascii="方正小标宋简体" w:hAnsi="方正小标宋简体" w:eastAsia="方正小标宋简体" w:cs="方正小标宋简体"/>
          <w:color w:val="auto"/>
          <w:sz w:val="56"/>
          <w:szCs w:val="56"/>
          <w:lang w:eastAsia="zh-CN"/>
        </w:rPr>
      </w:pPr>
    </w:p>
    <w:p>
      <w:pPr>
        <w:spacing w:before="169" w:line="360" w:lineRule="auto"/>
        <w:jc w:val="both"/>
        <w:rPr>
          <w:rFonts w:ascii="方正小标宋简体" w:hAnsi="方正小标宋简体" w:eastAsia="方正小标宋简体" w:cs="方正小标宋简体"/>
          <w:color w:val="auto"/>
          <w:sz w:val="56"/>
          <w:szCs w:val="56"/>
          <w:lang w:eastAsia="zh-CN"/>
        </w:rPr>
      </w:pPr>
    </w:p>
    <w:p>
      <w:pPr>
        <w:spacing w:before="169" w:line="360" w:lineRule="auto"/>
        <w:jc w:val="both"/>
        <w:rPr>
          <w:rFonts w:ascii="方正小标宋简体" w:hAnsi="方正小标宋简体" w:eastAsia="方正小标宋简体" w:cs="方正小标宋简体"/>
          <w:color w:val="auto"/>
          <w:sz w:val="56"/>
          <w:szCs w:val="56"/>
          <w:lang w:eastAsia="zh-CN"/>
        </w:rPr>
      </w:pPr>
    </w:p>
    <w:p>
      <w:pPr>
        <w:spacing w:before="169" w:line="360" w:lineRule="auto"/>
        <w:jc w:val="center"/>
        <w:rPr>
          <w:rFonts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广州市卫生健康委</w:t>
      </w:r>
    </w:p>
    <w:p>
      <w:pPr>
        <w:spacing w:before="169" w:line="360" w:lineRule="auto"/>
        <w:jc w:val="center"/>
        <w:rPr>
          <w:rFonts w:ascii="方正小标宋简体" w:hAnsi="方正小标宋简体" w:eastAsia="方正小标宋简体" w:cs="方正小标宋简体"/>
          <w:color w:val="auto"/>
          <w:sz w:val="32"/>
          <w:szCs w:val="32"/>
          <w:lang w:eastAsia="zh-CN"/>
        </w:rPr>
        <w:sectPr>
          <w:pgSz w:w="11906" w:h="16839"/>
          <w:pgMar w:top="1431" w:right="1785" w:bottom="0" w:left="1785" w:header="0" w:footer="0" w:gutter="0"/>
          <w:pgNumType w:fmt="numberInDash"/>
          <w:cols w:space="720" w:num="1"/>
        </w:sectPr>
      </w:pPr>
      <w:r>
        <w:rPr>
          <w:rFonts w:hint="eastAsia" w:ascii="方正小标宋简体" w:hAnsi="方正小标宋简体" w:eastAsia="方正小标宋简体" w:cs="方正小标宋简体"/>
          <w:color w:val="auto"/>
          <w:sz w:val="32"/>
          <w:szCs w:val="32"/>
          <w:lang w:eastAsia="zh-CN"/>
        </w:rPr>
        <w:t>2024年</w:t>
      </w:r>
    </w:p>
    <w:p>
      <w:pPr>
        <w:spacing w:before="140" w:line="604" w:lineRule="exact"/>
        <w:jc w:val="center"/>
        <w:rPr>
          <w:rFonts w:ascii="方正小标宋简体" w:hAnsi="方正小标宋简体" w:eastAsia="方正小标宋简体" w:cs="方正小标宋简体"/>
          <w:color w:val="auto"/>
          <w:spacing w:val="8"/>
          <w:position w:val="3"/>
          <w:sz w:val="43"/>
          <w:szCs w:val="43"/>
          <w:lang w:eastAsia="zh-CN"/>
        </w:rPr>
      </w:pPr>
      <w:r>
        <w:rPr>
          <w:rFonts w:hint="eastAsia" w:ascii="方正小标宋简体" w:hAnsi="方正小标宋简体" w:eastAsia="方正小标宋简体" w:cs="方正小标宋简体"/>
          <w:color w:val="auto"/>
          <w:spacing w:val="8"/>
          <w:position w:val="3"/>
          <w:sz w:val="43"/>
          <w:szCs w:val="43"/>
          <w:lang w:eastAsia="zh-CN"/>
        </w:rPr>
        <w:t>广州市二级</w:t>
      </w:r>
      <w:r>
        <w:rPr>
          <w:rFonts w:hint="eastAsia" w:ascii="方正小标宋简体" w:hAnsi="方正小标宋简体" w:eastAsia="方正小标宋简体" w:cs="方正小标宋简体"/>
          <w:color w:val="auto"/>
          <w:spacing w:val="9"/>
          <w:position w:val="3"/>
          <w:sz w:val="43"/>
          <w:szCs w:val="43"/>
          <w:lang w:eastAsia="zh-CN"/>
        </w:rPr>
        <w:t>康复专科</w:t>
      </w:r>
      <w:r>
        <w:rPr>
          <w:rFonts w:hint="eastAsia" w:ascii="方正小标宋简体" w:hAnsi="方正小标宋简体" w:eastAsia="方正小标宋简体" w:cs="方正小标宋简体"/>
          <w:color w:val="auto"/>
          <w:spacing w:val="8"/>
          <w:position w:val="3"/>
          <w:sz w:val="43"/>
          <w:szCs w:val="43"/>
          <w:lang w:eastAsia="zh-CN"/>
        </w:rPr>
        <w:t>医院</w:t>
      </w:r>
    </w:p>
    <w:p>
      <w:pPr>
        <w:spacing w:before="140" w:line="604" w:lineRule="exact"/>
        <w:jc w:val="center"/>
        <w:rPr>
          <w:rFonts w:ascii="方正小标宋简体" w:hAnsi="方正小标宋简体" w:eastAsia="方正小标宋简体" w:cs="方正小标宋简体"/>
          <w:color w:val="auto"/>
          <w:sz w:val="43"/>
          <w:szCs w:val="43"/>
          <w:lang w:eastAsia="zh-CN"/>
        </w:rPr>
      </w:pPr>
      <w:r>
        <w:rPr>
          <w:rFonts w:hint="eastAsia" w:ascii="方正小标宋简体" w:hAnsi="方正小标宋简体" w:eastAsia="方正小标宋简体" w:cs="方正小标宋简体"/>
          <w:color w:val="auto"/>
          <w:spacing w:val="8"/>
          <w:position w:val="3"/>
          <w:sz w:val="43"/>
          <w:szCs w:val="43"/>
          <w:lang w:eastAsia="zh-CN"/>
        </w:rPr>
        <w:t>评审标准</w:t>
      </w:r>
      <w:r>
        <w:rPr>
          <w:rFonts w:hint="eastAsia" w:ascii="方正小标宋简体" w:hAnsi="方正小标宋简体" w:eastAsia="方正小标宋简体" w:cs="方正小标宋简体"/>
          <w:color w:val="auto"/>
          <w:spacing w:val="9"/>
          <w:position w:val="3"/>
          <w:sz w:val="43"/>
          <w:szCs w:val="43"/>
          <w:lang w:eastAsia="zh-CN"/>
        </w:rPr>
        <w:t>及实施细则</w:t>
      </w:r>
      <w:r>
        <w:rPr>
          <w:rFonts w:hint="eastAsia" w:ascii="方正小标宋简体" w:hAnsi="方正小标宋简体" w:eastAsia="方正小标宋简体" w:cs="方正小标宋简体"/>
          <w:color w:val="auto"/>
          <w:spacing w:val="8"/>
          <w:position w:val="3"/>
          <w:sz w:val="43"/>
          <w:szCs w:val="43"/>
          <w:lang w:eastAsia="zh-CN"/>
        </w:rPr>
        <w:t>（2022年版）</w:t>
      </w:r>
      <w:r>
        <w:rPr>
          <w:rFonts w:hint="eastAsia" w:ascii="方正小标宋简体" w:hAnsi="方正小标宋简体" w:eastAsia="方正小标宋简体" w:cs="方正小标宋简体"/>
          <w:color w:val="auto"/>
          <w:spacing w:val="9"/>
          <w:position w:val="3"/>
          <w:sz w:val="43"/>
          <w:szCs w:val="43"/>
          <w:lang w:eastAsia="zh-CN"/>
        </w:rPr>
        <w:t>说明</w:t>
      </w:r>
    </w:p>
    <w:p>
      <w:pPr>
        <w:spacing w:line="274" w:lineRule="auto"/>
        <w:rPr>
          <w:color w:val="auto"/>
          <w:lang w:eastAsia="zh-CN"/>
        </w:rPr>
      </w:pPr>
    </w:p>
    <w:p>
      <w:pPr>
        <w:spacing w:line="275" w:lineRule="auto"/>
        <w:rPr>
          <w:color w:val="auto"/>
          <w:lang w:eastAsia="zh-CN"/>
        </w:rPr>
      </w:pPr>
    </w:p>
    <w:p>
      <w:pPr>
        <w:pStyle w:val="2"/>
        <w:spacing w:before="101" w:line="560" w:lineRule="exact"/>
        <w:ind w:firstLine="663"/>
        <w:jc w:val="both"/>
        <w:rPr>
          <w:rFonts w:ascii="仿宋_GB2312" w:hAnsi="仿宋_GB2312" w:eastAsia="仿宋_GB2312" w:cs="仿宋_GB2312"/>
          <w:color w:val="auto"/>
        </w:rPr>
      </w:pPr>
      <w:r>
        <w:rPr>
          <w:rFonts w:hint="eastAsia" w:ascii="仿宋_GB2312" w:hAnsi="仿宋_GB2312" w:eastAsia="仿宋_GB2312" w:cs="仿宋_GB2312"/>
          <w:color w:val="auto"/>
          <w:lang w:eastAsia="zh-CN"/>
        </w:rPr>
        <w:t>我委结合广州市及康复专科实际，遵循“标准只升不降，周期全程追踪”的原则，根据国家卫生健康委《三级医院评审标准（2022年版）及其实施细则》、广东省卫生健康委《三级医院评审标准（2022年版）广东省综合和专科实施细则》、</w:t>
      </w:r>
      <w:r>
        <w:rPr>
          <w:rFonts w:hint="eastAsia" w:ascii="仿宋_GB2312" w:eastAsia="仿宋_GB2312" w:cs="Times New Roman"/>
          <w:i w:val="0"/>
          <w:iCs w:val="0"/>
          <w:caps w:val="0"/>
          <w:spacing w:val="0"/>
          <w:kern w:val="2"/>
          <w:sz w:val="32"/>
          <w:szCs w:val="32"/>
          <w:shd w:val="clear" w:color="auto" w:fill="auto"/>
          <w:lang w:val="en-US" w:eastAsia="zh-CN" w:bidi="ar"/>
        </w:rPr>
        <w:t>《</w:t>
      </w:r>
      <w:r>
        <w:rPr>
          <w:rFonts w:hint="eastAsia" w:ascii="仿宋_GB2312" w:eastAsia="仿宋_GB2312" w:cs="Times New Roman"/>
          <w:kern w:val="2"/>
          <w:sz w:val="32"/>
          <w:szCs w:val="32"/>
          <w:shd w:val="clear" w:color="auto" w:fill="auto"/>
        </w:rPr>
        <w:t>三级医院评审标准（2022年版）广东省专科医院实施细则（康复专科）</w:t>
      </w:r>
      <w:r>
        <w:rPr>
          <w:rFonts w:hint="eastAsia" w:ascii="仿宋_GB2312" w:eastAsia="仿宋_GB2312" w:cs="Times New Roman"/>
          <w:kern w:val="2"/>
          <w:sz w:val="32"/>
          <w:szCs w:val="32"/>
          <w:shd w:val="clear" w:color="auto" w:fill="auto"/>
          <w:lang w:eastAsia="zh-CN"/>
        </w:rPr>
        <w:t>》</w:t>
      </w:r>
      <w:r>
        <w:rPr>
          <w:rFonts w:hint="eastAsia" w:ascii="仿宋_GB2312" w:hAnsi="仿宋_GB2312" w:eastAsia="仿宋_GB2312" w:cs="仿宋_GB2312"/>
          <w:color w:val="auto"/>
          <w:lang w:eastAsia="zh-CN"/>
        </w:rPr>
        <w:t>以及我委《广州市二级医院评审标准（2020年版）及实施细则》要求，形成了《广州市二级医院评审标准（2022年版）及实施细则（康复专科）》，共设3个部分59节413条标准和监测指标。便</w:t>
      </w:r>
      <w:r>
        <w:rPr>
          <w:rFonts w:hint="eastAsia" w:ascii="仿宋_GB2312" w:hAnsi="仿宋_GB2312" w:eastAsia="仿宋_GB2312" w:cs="仿宋_GB2312"/>
          <w:color w:val="auto"/>
        </w:rPr>
        <w:t>于二级康复医院</w:t>
      </w:r>
      <w:r>
        <w:rPr>
          <w:rFonts w:hint="eastAsia" w:ascii="仿宋_GB2312" w:hAnsi="仿宋_GB2312" w:eastAsia="仿宋_GB2312" w:cs="仿宋_GB2312"/>
          <w:color w:val="auto"/>
          <w:lang w:eastAsia="zh-CN"/>
        </w:rPr>
        <w:t>和评审专家使用</w:t>
      </w:r>
      <w:r>
        <w:rPr>
          <w:rFonts w:hint="eastAsia" w:ascii="仿宋_GB2312" w:hAnsi="仿宋_GB2312" w:eastAsia="仿宋_GB2312" w:cs="仿宋_GB2312"/>
          <w:color w:val="auto"/>
        </w:rPr>
        <w:t>。</w:t>
      </w:r>
    </w:p>
    <w:p>
      <w:pPr>
        <w:numPr>
          <w:ilvl w:val="0"/>
          <w:numId w:val="1"/>
        </w:numPr>
        <w:spacing w:before="186" w:line="560" w:lineRule="exact"/>
        <w:ind w:left="651"/>
        <w:jc w:val="both"/>
        <w:rPr>
          <w:rFonts w:ascii="黑体" w:hAnsi="黑体" w:eastAsia="黑体" w:cs="黑体"/>
          <w:color w:val="auto"/>
          <w:sz w:val="31"/>
          <w:szCs w:val="31"/>
        </w:rPr>
      </w:pPr>
      <w:r>
        <w:rPr>
          <w:rFonts w:hint="eastAsia" w:ascii="黑体" w:hAnsi="黑体" w:eastAsia="黑体" w:cs="黑体"/>
          <w:color w:val="auto"/>
          <w:sz w:val="31"/>
          <w:szCs w:val="31"/>
        </w:rPr>
        <w:t>第一部分为前置要求</w:t>
      </w:r>
    </w:p>
    <w:p>
      <w:pPr>
        <w:spacing w:before="186" w:line="560" w:lineRule="exact"/>
        <w:ind w:firstLine="620" w:firstLineChars="200"/>
        <w:jc w:val="both"/>
        <w:rPr>
          <w:rFonts w:ascii="仿宋_GB2312" w:hAnsi="仿宋_GB2312" w:eastAsia="仿宋_GB2312" w:cs="仿宋_GB2312"/>
          <w:color w:val="auto"/>
          <w:sz w:val="31"/>
          <w:szCs w:val="31"/>
          <w:lang w:eastAsia="zh-CN"/>
        </w:rPr>
      </w:pPr>
      <w:r>
        <w:rPr>
          <w:rFonts w:hint="eastAsia" w:ascii="仿宋_GB2312" w:hAnsi="仿宋_GB2312" w:eastAsia="仿宋_GB2312" w:cs="仿宋_GB2312"/>
          <w:color w:val="auto"/>
          <w:sz w:val="31"/>
          <w:szCs w:val="31"/>
          <w:lang w:eastAsia="zh-CN"/>
        </w:rPr>
        <w:t>共3节30条。医院在评审周期内发生一项及以上情形的，延期一年评审。延期期间原等次取消，按照“未定等”管理。</w:t>
      </w:r>
    </w:p>
    <w:p>
      <w:pPr>
        <w:spacing w:before="188" w:line="560" w:lineRule="exact"/>
        <w:ind w:left="651"/>
        <w:jc w:val="both"/>
        <w:rPr>
          <w:rFonts w:ascii="黑体" w:hAnsi="黑体" w:eastAsia="黑体" w:cs="黑体"/>
          <w:color w:val="auto"/>
          <w:sz w:val="31"/>
          <w:szCs w:val="31"/>
          <w:lang w:eastAsia="zh-CN"/>
        </w:rPr>
      </w:pPr>
      <w:r>
        <w:rPr>
          <w:rFonts w:hint="eastAsia" w:ascii="黑体" w:hAnsi="黑体" w:eastAsia="黑体" w:cs="黑体"/>
          <w:color w:val="auto"/>
          <w:sz w:val="31"/>
          <w:szCs w:val="31"/>
          <w:lang w:eastAsia="zh-CN"/>
        </w:rPr>
        <w:t>二、第二部分为医疗服务能力与质量安全监测数据</w:t>
      </w:r>
    </w:p>
    <w:p>
      <w:pPr>
        <w:pStyle w:val="2"/>
        <w:spacing w:before="101" w:line="560" w:lineRule="exact"/>
        <w:ind w:right="83" w:firstLine="62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共4章28节201条279个监测指标。内容包括医院资源配置、质量、安全、服务、绩效等指标监测、住院重点疾病等日常监测数据。第一章资源配置与运行数据指标，共5节15条53个监测指标。第二章医疗服务能力与医院质量安全指标，共3节34条37个监测指标。第三章重点专业质量控制指标，共10节103条140个监测指标。第四章住院重点疾病质量控制指标，共10节49条49个监测指标。此部分为通过对客观指标的采集定量评价为主，各医疗机构要保证客观数据的真实性，涉及数据核查存在问题的，视情节严重程度，予以惩罚性扣分直至按照“第一部分前置要求”中第二节第五条采取“一票否决”处理。住院重点疾病根据评审医院实际开展技术情况进行评审。</w:t>
      </w:r>
    </w:p>
    <w:p>
      <w:pPr>
        <w:spacing w:before="186" w:line="560" w:lineRule="exact"/>
        <w:ind w:left="651"/>
        <w:jc w:val="both"/>
        <w:rPr>
          <w:rFonts w:ascii="黑体" w:hAnsi="黑体" w:eastAsia="黑体" w:cs="黑体"/>
          <w:color w:val="auto"/>
          <w:sz w:val="31"/>
          <w:szCs w:val="31"/>
          <w:lang w:eastAsia="zh-CN"/>
        </w:rPr>
      </w:pPr>
      <w:r>
        <w:rPr>
          <w:rFonts w:hint="eastAsia" w:ascii="黑体" w:hAnsi="黑体" w:eastAsia="黑体" w:cs="黑体"/>
          <w:color w:val="auto"/>
          <w:sz w:val="31"/>
          <w:szCs w:val="31"/>
          <w:lang w:eastAsia="zh-CN"/>
        </w:rPr>
        <w:t>三、第三部分为现场检查</w:t>
      </w:r>
    </w:p>
    <w:p>
      <w:pPr>
        <w:pStyle w:val="2"/>
        <w:spacing w:before="101" w:line="560" w:lineRule="exact"/>
        <w:ind w:right="83" w:firstLine="62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共设4章28节182条347款标准。内容包括医院功能与任务、临床服务质量与安全管理、医院管理以及补充条款，用于对二级康复医院实地评审以及医院自我管理和持续改进。第一章医院功能与任务，共4节10条12款标准。第二章临床服务质量与安全管理，共12节113条249款标准。第三章医院管理，共9节50条71款标准。第四章补充条款，共3节9条15款标准。</w:t>
      </w:r>
    </w:p>
    <w:p>
      <w:pPr>
        <w:spacing w:before="187" w:line="560" w:lineRule="exact"/>
        <w:ind w:left="663"/>
        <w:jc w:val="both"/>
        <w:rPr>
          <w:rFonts w:ascii="黑体" w:hAnsi="黑体" w:eastAsia="黑体" w:cs="黑体"/>
          <w:color w:val="auto"/>
          <w:sz w:val="31"/>
          <w:szCs w:val="31"/>
          <w:lang w:eastAsia="zh-CN"/>
        </w:rPr>
      </w:pPr>
      <w:r>
        <w:rPr>
          <w:rFonts w:hint="eastAsia" w:ascii="黑体" w:hAnsi="黑体" w:eastAsia="黑体" w:cs="黑体"/>
          <w:color w:val="auto"/>
          <w:sz w:val="31"/>
          <w:szCs w:val="31"/>
          <w:lang w:eastAsia="zh-CN"/>
        </w:rPr>
        <w:t>四、赋分与计分规则</w:t>
      </w:r>
    </w:p>
    <w:p>
      <w:pPr>
        <w:pStyle w:val="2"/>
        <w:spacing w:before="101" w:line="560" w:lineRule="exact"/>
        <w:ind w:right="83" w:firstLine="622" w:firstLineChars="200"/>
        <w:jc w:val="both"/>
        <w:rPr>
          <w:rFonts w:ascii="仿宋_GB2312" w:hAnsi="仿宋_GB2312" w:eastAsia="仿宋_GB2312" w:cs="仿宋_GB2312"/>
          <w:color w:val="auto"/>
          <w:lang w:eastAsia="zh-CN"/>
        </w:rPr>
      </w:pPr>
      <w:r>
        <w:rPr>
          <w:rFonts w:hint="eastAsia" w:ascii="楷体_GB2312" w:hAnsi="楷体_GB2312" w:eastAsia="楷体_GB2312" w:cs="楷体_GB2312"/>
          <w:b/>
          <w:bCs/>
          <w:color w:val="auto"/>
          <w:lang w:eastAsia="zh-CN"/>
        </w:rPr>
        <w:t>（一）等级判定标准。</w:t>
      </w:r>
      <w:r>
        <w:rPr>
          <w:rFonts w:hint="eastAsia" w:ascii="仿宋_GB2312" w:hAnsi="仿宋_GB2312" w:eastAsia="仿宋_GB2312" w:cs="仿宋_GB2312"/>
          <w:color w:val="auto"/>
          <w:lang w:eastAsia="zh-CN"/>
        </w:rPr>
        <w:t>第一部分前置要求实行一票否决，不占分数；第二部分在评审综合得分中的权重占60%，总分为600分；第三部分在评审综合得分中的权重占40%，总分为400分。采取“总分和第三部分相结合”的方式，判定相应等次必须同时满足以下两个条件：甲等：总分不少于900分，第三部分不少于360分；乙等：总分不少于800分，第三部分不少于320分；丙等：总分不少于700分，第三部分不少于280；总分低于700分，或第三部分不满足丙等以上条款要求的，判定为不合格，按未定等管理。</w:t>
      </w:r>
    </w:p>
    <w:p>
      <w:pPr>
        <w:pStyle w:val="2"/>
        <w:spacing w:before="101" w:line="560" w:lineRule="exact"/>
        <w:ind w:right="83" w:firstLine="622" w:firstLineChars="200"/>
        <w:jc w:val="both"/>
        <w:rPr>
          <w:rFonts w:ascii="楷体_GB2312" w:hAnsi="楷体_GB2312" w:eastAsia="楷体_GB2312" w:cs="楷体_GB2312"/>
          <w:b/>
          <w:bCs/>
          <w:color w:val="auto"/>
          <w:lang w:eastAsia="zh-CN"/>
        </w:rPr>
      </w:pPr>
      <w:r>
        <w:rPr>
          <w:rFonts w:hint="eastAsia" w:ascii="楷体_GB2312" w:hAnsi="楷体_GB2312" w:eastAsia="楷体_GB2312" w:cs="楷体_GB2312"/>
          <w:b/>
          <w:bCs/>
          <w:color w:val="auto"/>
          <w:lang w:eastAsia="zh-CN"/>
        </w:rPr>
        <w:t>（二）第二部分赋分规则。</w:t>
      </w:r>
    </w:p>
    <w:p>
      <w:pPr>
        <w:pStyle w:val="2"/>
        <w:spacing w:before="101" w:line="560" w:lineRule="exact"/>
        <w:ind w:right="83" w:firstLine="620" w:firstLineChars="200"/>
        <w:jc w:val="both"/>
        <w:rPr>
          <w:rFonts w:ascii="仿宋_GB2312" w:hAnsi="仿宋_GB2312" w:eastAsia="仿宋_GB2312" w:cs="仿宋_GB2312"/>
          <w:color w:val="auto"/>
          <w:lang w:eastAsia="zh-CN"/>
        </w:rPr>
        <w:sectPr>
          <w:footerReference r:id="rId3" w:type="default"/>
          <w:pgSz w:w="11906" w:h="16839"/>
          <w:pgMar w:top="1431" w:right="1447" w:bottom="1156" w:left="1539" w:header="0" w:footer="994" w:gutter="0"/>
          <w:pgNumType w:fmt="numberInDash" w:start="1"/>
          <w:cols w:space="720" w:num="1"/>
        </w:sectPr>
      </w:pPr>
      <w:r>
        <w:rPr>
          <w:rFonts w:hint="eastAsia" w:ascii="仿宋_GB2312" w:hAnsi="仿宋_GB2312" w:eastAsia="仿宋_GB2312" w:cs="仿宋_GB2312"/>
          <w:color w:val="auto"/>
          <w:lang w:eastAsia="zh-CN"/>
        </w:rPr>
        <w:t>1.规模类和配比类指标。执行“全或无”规则，比如“床护比”达到标准予以“给分”（或“满分”），否则计“零分”。</w:t>
      </w:r>
    </w:p>
    <w:p>
      <w:pPr>
        <w:pStyle w:val="2"/>
        <w:spacing w:before="101" w:line="560" w:lineRule="exact"/>
        <w:ind w:right="83" w:firstLine="62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2.连续监测指标，按照“区间赋分兼顾持续改进”原则给分。</w:t>
      </w:r>
    </w:p>
    <w:p>
      <w:pPr>
        <w:pStyle w:val="2"/>
        <w:spacing w:before="190" w:line="560" w:lineRule="exact"/>
        <w:ind w:left="642"/>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（三）第三部分计分规则。</w:t>
      </w:r>
    </w:p>
    <w:p>
      <w:pPr>
        <w:pStyle w:val="2"/>
        <w:spacing w:before="185" w:line="560" w:lineRule="exact"/>
        <w:ind w:left="666"/>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第三部分计分规则采用指标符合率计算分数。</w:t>
      </w:r>
    </w:p>
    <w:p>
      <w:pPr>
        <w:numPr>
          <w:ilvl w:val="0"/>
          <w:numId w:val="2"/>
        </w:numPr>
        <w:spacing w:before="190" w:line="560" w:lineRule="exact"/>
        <w:ind w:left="659"/>
        <w:jc w:val="both"/>
        <w:rPr>
          <w:rFonts w:ascii="黑体" w:hAnsi="黑体" w:eastAsia="黑体" w:cs="黑体"/>
          <w:color w:val="auto"/>
          <w:sz w:val="31"/>
          <w:szCs w:val="31"/>
          <w:lang w:eastAsia="zh-CN"/>
        </w:rPr>
      </w:pPr>
      <w:r>
        <w:rPr>
          <w:rFonts w:hint="eastAsia" w:ascii="黑体" w:hAnsi="黑体" w:eastAsia="黑体" w:cs="黑体"/>
          <w:color w:val="auto"/>
          <w:sz w:val="31"/>
          <w:szCs w:val="31"/>
          <w:lang w:eastAsia="zh-CN"/>
        </w:rPr>
        <w:t>第二部分数据采集原则和方式</w:t>
      </w:r>
    </w:p>
    <w:p>
      <w:pPr>
        <w:spacing w:before="190" w:line="560" w:lineRule="exact"/>
        <w:ind w:firstLine="620" w:firstLineChars="200"/>
        <w:jc w:val="both"/>
        <w:rPr>
          <w:rFonts w:ascii="楷体_GB2312" w:hAnsi="楷体_GB2312" w:eastAsia="楷体_GB2312" w:cs="楷体_GB2312"/>
          <w:color w:val="auto"/>
          <w:sz w:val="31"/>
          <w:szCs w:val="31"/>
          <w:lang w:eastAsia="zh-CN"/>
        </w:rPr>
      </w:pPr>
      <w:r>
        <w:rPr>
          <w:rFonts w:hint="eastAsia" w:ascii="楷体_GB2312" w:hAnsi="楷体_GB2312" w:eastAsia="楷体_GB2312" w:cs="楷体_GB2312"/>
          <w:color w:val="auto"/>
          <w:sz w:val="31"/>
          <w:szCs w:val="31"/>
          <w:lang w:eastAsia="zh-CN"/>
        </w:rPr>
        <w:t>（一）指标数据采集为全评审周期（四年）。</w:t>
      </w:r>
    </w:p>
    <w:p>
      <w:pPr>
        <w:pStyle w:val="2"/>
        <w:spacing w:before="187" w:line="560" w:lineRule="exact"/>
        <w:ind w:right="81" w:firstLine="620" w:firstLineChars="200"/>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（二）行业政策在评审周期内发布的，数据从政策发布的第</w:t>
      </w:r>
    </w:p>
    <w:p>
      <w:pPr>
        <w:pStyle w:val="2"/>
        <w:spacing w:line="560" w:lineRule="exact"/>
        <w:ind w:left="27"/>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二年完整取值，当年不计入统计。</w:t>
      </w:r>
    </w:p>
    <w:p>
      <w:pPr>
        <w:pStyle w:val="2"/>
        <w:spacing w:before="186" w:line="560" w:lineRule="exact"/>
        <w:ind w:left="642"/>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（三）按日、月、季获取的数据，采用均值计算当年的年度</w:t>
      </w:r>
    </w:p>
    <w:p>
      <w:pPr>
        <w:pStyle w:val="2"/>
        <w:spacing w:before="1" w:line="560" w:lineRule="exact"/>
        <w:ind w:left="18"/>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数据。按年度获取的数据，直接采用。</w:t>
      </w:r>
    </w:p>
    <w:p>
      <w:pPr>
        <w:pStyle w:val="2"/>
        <w:spacing w:before="188" w:line="560" w:lineRule="exact"/>
        <w:ind w:left="642"/>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（四）需要将同一指标不同年份的多个数据合并作为评审采</w:t>
      </w:r>
    </w:p>
    <w:p>
      <w:pPr>
        <w:pStyle w:val="2"/>
        <w:spacing w:before="2" w:line="560" w:lineRule="exact"/>
        <w:jc w:val="both"/>
        <w:rPr>
          <w:rFonts w:ascii="仿宋_GB2312" w:hAnsi="仿宋_GB2312" w:eastAsia="仿宋_GB2312" w:cs="仿宋_GB2312"/>
          <w:color w:val="auto"/>
          <w:lang w:eastAsia="zh-CN"/>
        </w:rPr>
      </w:pPr>
      <w:r>
        <w:rPr>
          <w:rFonts w:hint="eastAsia" w:ascii="楷体_GB2312" w:hAnsi="楷体_GB2312" w:eastAsia="楷体_GB2312" w:cs="楷体_GB2312"/>
          <w:color w:val="auto"/>
          <w:lang w:eastAsia="zh-CN"/>
        </w:rPr>
        <w:t>信数据时，按照以下规则</w:t>
      </w:r>
      <w:r>
        <w:rPr>
          <w:rFonts w:hint="eastAsia" w:ascii="仿宋_GB2312" w:hAnsi="仿宋_GB2312" w:eastAsia="仿宋_GB2312" w:cs="仿宋_GB2312"/>
          <w:color w:val="auto"/>
          <w:lang w:eastAsia="zh-CN"/>
        </w:rPr>
        <w:t>：</w:t>
      </w:r>
    </w:p>
    <w:p>
      <w:pPr>
        <w:pStyle w:val="2"/>
        <w:spacing w:before="186" w:line="560" w:lineRule="exact"/>
        <w:ind w:left="675"/>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1.规模类和配比类，中位数和最后一年的数据必须达标。</w:t>
      </w:r>
    </w:p>
    <w:p>
      <w:pPr>
        <w:pStyle w:val="2"/>
        <w:spacing w:before="189" w:line="560" w:lineRule="exact"/>
        <w:ind w:left="23" w:firstLine="621"/>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2.连续监测指标，数据趋势与管理目标方向一致的或呈波动型的，采用中位数或平均数；数据趋势呈与管理目标方向相反的，采用最差的数据。</w:t>
      </w:r>
    </w:p>
    <w:p>
      <w:pPr>
        <w:numPr>
          <w:ilvl w:val="0"/>
          <w:numId w:val="3"/>
        </w:numPr>
        <w:spacing w:before="187" w:line="560" w:lineRule="exact"/>
        <w:ind w:left="660"/>
        <w:jc w:val="both"/>
        <w:rPr>
          <w:rFonts w:ascii="黑体" w:hAnsi="黑体" w:eastAsia="黑体" w:cs="黑体"/>
          <w:color w:val="auto"/>
          <w:sz w:val="31"/>
          <w:szCs w:val="31"/>
          <w:lang w:eastAsia="zh-CN"/>
        </w:rPr>
      </w:pPr>
      <w:r>
        <w:rPr>
          <w:rFonts w:hint="eastAsia" w:ascii="黑体" w:hAnsi="黑体" w:eastAsia="黑体" w:cs="黑体"/>
          <w:color w:val="auto"/>
          <w:sz w:val="31"/>
          <w:szCs w:val="31"/>
        </w:rPr>
        <w:t>数据采集方式</w:t>
      </w:r>
    </w:p>
    <w:p>
      <w:pPr>
        <w:spacing w:before="187" w:line="560" w:lineRule="exact"/>
        <w:ind w:firstLine="620" w:firstLineChars="200"/>
        <w:jc w:val="both"/>
        <w:rPr>
          <w:rFonts w:ascii="仿宋_GB2312" w:hAnsi="仿宋_GB2312" w:eastAsia="仿宋_GB2312" w:cs="仿宋_GB2312"/>
          <w:color w:val="auto"/>
          <w:sz w:val="31"/>
          <w:szCs w:val="31"/>
          <w:lang w:eastAsia="zh-CN"/>
        </w:rPr>
      </w:pPr>
      <w:r>
        <w:rPr>
          <w:rFonts w:hint="eastAsia" w:ascii="仿宋_GB2312" w:hAnsi="仿宋_GB2312" w:eastAsia="仿宋_GB2312" w:cs="仿宋_GB2312"/>
          <w:color w:val="auto"/>
          <w:sz w:val="31"/>
          <w:szCs w:val="31"/>
          <w:shd w:val="clear" w:color="auto" w:fill="FFFFFF"/>
          <w:lang w:eastAsia="zh-CN"/>
        </w:rPr>
        <w:t>第二部分医疗服务能力与质量安全监测数据来源：包括国家医疗质量管理与控制信息网（NCIS）、国家单病种质量监测平台、全国医院质量监测系统（HQMS）、国家公立医院绩效考核管理平台，以及广东省医政管理系统、广东省卫生健康统计信息网络直报系统等。以上数据暂不可通过信息化方式直接采集，我委依托广州市基于大数据的医院精细化管理和医疗服务监管平台建立二级医院评审信息化平台，由医疗机构在该平台进行填报。各医疗机构务必重视相关信息系统数据填报的真实性、规范性、准确性、及时性、完整性，不断加强信息化建设、规范病历书写，提高病案首页填报质量，为本机构参加医院评审奠定基础。</w:t>
      </w:r>
    </w:p>
    <w:p>
      <w:pPr>
        <w:numPr>
          <w:ilvl w:val="0"/>
          <w:numId w:val="3"/>
        </w:numPr>
        <w:spacing w:before="186" w:line="560" w:lineRule="exact"/>
        <w:ind w:left="660"/>
        <w:jc w:val="both"/>
        <w:rPr>
          <w:rFonts w:ascii="黑体" w:hAnsi="黑体" w:eastAsia="黑体" w:cs="黑体"/>
          <w:color w:val="auto"/>
          <w:sz w:val="31"/>
          <w:szCs w:val="31"/>
        </w:rPr>
      </w:pPr>
      <w:r>
        <w:rPr>
          <w:rFonts w:hint="eastAsia" w:ascii="黑体" w:hAnsi="黑体" w:eastAsia="黑体" w:cs="黑体"/>
          <w:color w:val="auto"/>
          <w:sz w:val="31"/>
          <w:szCs w:val="31"/>
        </w:rPr>
        <w:t>数据核查原则</w:t>
      </w:r>
    </w:p>
    <w:p>
      <w:pPr>
        <w:spacing w:before="186" w:line="560" w:lineRule="exact"/>
        <w:ind w:firstLine="620" w:firstLineChars="200"/>
        <w:jc w:val="both"/>
        <w:rPr>
          <w:rFonts w:ascii="楷体_GB2312" w:hAnsi="楷体_GB2312" w:eastAsia="楷体_GB2312" w:cs="楷体_GB2312"/>
          <w:color w:val="auto"/>
          <w:sz w:val="31"/>
          <w:szCs w:val="31"/>
          <w:lang w:eastAsia="zh-CN"/>
        </w:rPr>
      </w:pPr>
      <w:r>
        <w:rPr>
          <w:rFonts w:hint="eastAsia" w:ascii="楷体_GB2312" w:hAnsi="楷体_GB2312" w:eastAsia="楷体_GB2312" w:cs="楷体_GB2312"/>
          <w:color w:val="auto"/>
          <w:sz w:val="31"/>
          <w:szCs w:val="31"/>
          <w:lang w:eastAsia="zh-CN"/>
        </w:rPr>
        <w:t>（一）现场核查时，对第二部分数据进行复核，复核比例不少于医院上报数据的20%。</w:t>
      </w:r>
    </w:p>
    <w:p>
      <w:pPr>
        <w:pStyle w:val="2"/>
        <w:spacing w:line="560" w:lineRule="exact"/>
        <w:ind w:firstLine="620" w:firstLineChars="200"/>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（二）医院应当根据现场评审专家组的要求，按照数据核查准备指引提供相关资料被查。</w:t>
      </w:r>
    </w:p>
    <w:p>
      <w:pPr>
        <w:pStyle w:val="2"/>
        <w:spacing w:before="1" w:line="560" w:lineRule="exact"/>
        <w:ind w:firstLine="620" w:firstLineChars="200"/>
        <w:jc w:val="both"/>
        <w:rPr>
          <w:rFonts w:ascii="楷体_GB2312" w:hAnsi="楷体_GB2312" w:eastAsia="楷体_GB2312" w:cs="楷体_GB2312"/>
          <w:color w:val="auto"/>
          <w:spacing w:val="-20"/>
          <w:lang w:eastAsia="zh-CN"/>
        </w:rPr>
      </w:pPr>
      <w:r>
        <w:rPr>
          <w:rFonts w:hint="eastAsia" w:ascii="楷体_GB2312" w:hAnsi="楷体_GB2312" w:eastAsia="楷体_GB2312" w:cs="楷体_GB2312"/>
          <w:color w:val="auto"/>
          <w:lang w:eastAsia="zh-CN"/>
        </w:rPr>
        <w:t>（三）</w:t>
      </w:r>
      <w:r>
        <w:rPr>
          <w:rFonts w:hint="eastAsia" w:ascii="楷体_GB2312" w:hAnsi="楷体_GB2312" w:eastAsia="楷体_GB2312" w:cs="楷体_GB2312"/>
          <w:color w:val="auto"/>
          <w:spacing w:val="-6"/>
          <w:lang w:eastAsia="zh-CN"/>
        </w:rPr>
        <w:t>医院提供值与核查真实值差距在10%以上（含正负）、无法提供原始数据或被专家组认定为虚假数据的均视为错误数据。</w:t>
      </w:r>
    </w:p>
    <w:p>
      <w:pPr>
        <w:pStyle w:val="2"/>
        <w:spacing w:before="1" w:line="560" w:lineRule="exact"/>
        <w:ind w:firstLine="620" w:firstLineChars="200"/>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（四）所有错误数据，按核查后的数据结果再次计算，并根据错误数据占现场数据总数百分比，按下表进行惩罚性扣分（扣除第二部分最后评审分数的一定比例）。</w:t>
      </w: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263" w:type="dxa"/>
          </w:tcPr>
          <w:p>
            <w:pPr>
              <w:spacing w:before="181" w:line="223" w:lineRule="auto"/>
              <w:ind w:left="1502"/>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7"/>
                <w:sz w:val="31"/>
                <w:szCs w:val="31"/>
              </w:rPr>
              <w:t>错误数据比例</w:t>
            </w:r>
          </w:p>
        </w:tc>
        <w:tc>
          <w:tcPr>
            <w:tcW w:w="4263" w:type="dxa"/>
          </w:tcPr>
          <w:p>
            <w:pPr>
              <w:spacing w:before="181" w:line="220" w:lineRule="auto"/>
              <w:ind w:left="1337"/>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8"/>
                <w:sz w:val="31"/>
                <w:szCs w:val="31"/>
              </w:rPr>
              <w:t>惩罚性扣分比例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63" w:type="dxa"/>
          </w:tcPr>
          <w:p>
            <w:pPr>
              <w:spacing w:before="128" w:line="418" w:lineRule="exact"/>
              <w:ind w:left="1527"/>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2"/>
                <w:position w:val="1"/>
                <w:sz w:val="31"/>
                <w:szCs w:val="31"/>
              </w:rPr>
              <w:t>1%（含）-2%</w:t>
            </w:r>
          </w:p>
        </w:tc>
        <w:tc>
          <w:tcPr>
            <w:tcW w:w="4263" w:type="dxa"/>
          </w:tcPr>
          <w:p>
            <w:pPr>
              <w:spacing w:before="128" w:line="418" w:lineRule="exact"/>
              <w:ind w:left="2249"/>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2"/>
                <w:position w:val="2"/>
                <w:sz w:val="31"/>
                <w:szCs w:val="3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63" w:type="dxa"/>
          </w:tcPr>
          <w:p>
            <w:pPr>
              <w:spacing w:before="130" w:line="418" w:lineRule="exact"/>
              <w:ind w:left="1497"/>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6"/>
                <w:position w:val="1"/>
                <w:sz w:val="31"/>
                <w:szCs w:val="31"/>
              </w:rPr>
              <w:t>2%（含）-5%</w:t>
            </w:r>
          </w:p>
        </w:tc>
        <w:tc>
          <w:tcPr>
            <w:tcW w:w="4263" w:type="dxa"/>
          </w:tcPr>
          <w:p>
            <w:pPr>
              <w:spacing w:before="130" w:line="418" w:lineRule="exact"/>
              <w:ind w:left="2191"/>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7"/>
                <w:position w:val="2"/>
                <w:sz w:val="31"/>
                <w:szCs w:val="3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63" w:type="dxa"/>
          </w:tcPr>
          <w:p>
            <w:pPr>
              <w:spacing w:before="130" w:line="418" w:lineRule="exact"/>
              <w:ind w:left="1426"/>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1"/>
                <w:position w:val="1"/>
                <w:sz w:val="31"/>
                <w:szCs w:val="31"/>
              </w:rPr>
              <w:t>5%（含）-10%</w:t>
            </w:r>
          </w:p>
        </w:tc>
        <w:tc>
          <w:tcPr>
            <w:tcW w:w="4263" w:type="dxa"/>
          </w:tcPr>
          <w:p>
            <w:pPr>
              <w:spacing w:before="130" w:line="418" w:lineRule="exact"/>
              <w:ind w:left="2161"/>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4"/>
                <w:position w:val="2"/>
                <w:sz w:val="31"/>
                <w:szCs w:val="3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263" w:type="dxa"/>
          </w:tcPr>
          <w:p>
            <w:pPr>
              <w:spacing w:before="132" w:line="418" w:lineRule="exact"/>
              <w:ind w:left="1393"/>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5"/>
                <w:position w:val="1"/>
                <w:sz w:val="31"/>
                <w:szCs w:val="31"/>
              </w:rPr>
              <w:t>10%（含）以上</w:t>
            </w:r>
          </w:p>
        </w:tc>
        <w:tc>
          <w:tcPr>
            <w:tcW w:w="4263" w:type="dxa"/>
          </w:tcPr>
          <w:p>
            <w:pPr>
              <w:spacing w:before="179" w:line="225" w:lineRule="auto"/>
              <w:ind w:left="1825"/>
              <w:rPr>
                <w:rFonts w:ascii="仿宋_GB2312" w:hAnsi="仿宋_GB2312" w:eastAsia="仿宋_GB2312" w:cs="仿宋_GB2312"/>
                <w:color w:val="auto"/>
                <w:sz w:val="31"/>
                <w:szCs w:val="31"/>
              </w:rPr>
            </w:pPr>
            <w:r>
              <w:rPr>
                <w:rFonts w:hint="eastAsia" w:ascii="仿宋_GB2312" w:hAnsi="仿宋_GB2312" w:eastAsia="仿宋_GB2312" w:cs="仿宋_GB2312"/>
                <w:color w:val="auto"/>
                <w:spacing w:val="5"/>
                <w:sz w:val="31"/>
                <w:szCs w:val="31"/>
              </w:rPr>
              <w:t>不予通过</w:t>
            </w:r>
          </w:p>
        </w:tc>
      </w:tr>
    </w:tbl>
    <w:p>
      <w:pPr>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八、数据核查准备指引</w:t>
      </w:r>
    </w:p>
    <w:p>
      <w:pPr>
        <w:pStyle w:val="2"/>
        <w:spacing w:line="560" w:lineRule="exact"/>
        <w:ind w:right="95" w:firstLine="632"/>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spacing w:val="7"/>
          <w:lang w:eastAsia="zh-CN"/>
        </w:rPr>
        <w:t>（一）医院应当准备所有纳入本轮评审标准的“第二部分医</w:t>
      </w:r>
      <w:r>
        <w:rPr>
          <w:rFonts w:hint="eastAsia" w:ascii="楷体_GB2312" w:hAnsi="楷体_GB2312" w:eastAsia="楷体_GB2312" w:cs="楷体_GB2312"/>
          <w:color w:val="auto"/>
          <w:spacing w:val="10"/>
          <w:lang w:eastAsia="zh-CN"/>
        </w:rPr>
        <w:t>疗服务能力与质量安全监测数据”和“第三部分现场评审”标准中</w:t>
      </w:r>
      <w:r>
        <w:rPr>
          <w:rFonts w:hint="eastAsia" w:ascii="楷体_GB2312" w:hAnsi="楷体_GB2312" w:eastAsia="楷体_GB2312" w:cs="楷体_GB2312"/>
          <w:color w:val="auto"/>
          <w:spacing w:val="5"/>
          <w:lang w:eastAsia="zh-CN"/>
        </w:rPr>
        <w:t>涉及的数据目录清单。</w:t>
      </w:r>
    </w:p>
    <w:p>
      <w:pPr>
        <w:pStyle w:val="2"/>
        <w:spacing w:line="560" w:lineRule="exact"/>
        <w:ind w:firstLine="632"/>
        <w:jc w:val="both"/>
        <w:rPr>
          <w:rFonts w:ascii="楷体_GB2312" w:hAnsi="楷体_GB2312" w:eastAsia="楷体_GB2312" w:cs="楷体_GB2312"/>
          <w:color w:val="auto"/>
          <w:lang w:eastAsia="zh-CN"/>
        </w:rPr>
      </w:pPr>
      <w:r>
        <w:rPr>
          <w:rFonts w:hint="eastAsia" w:ascii="楷体_GB2312" w:hAnsi="楷体_GB2312" w:eastAsia="楷体_GB2312" w:cs="楷体_GB2312"/>
          <w:color w:val="auto"/>
          <w:spacing w:val="-6"/>
          <w:lang w:eastAsia="zh-CN"/>
        </w:rPr>
        <w:t>（二）该清单中应当包含每个数据定义、数据源、采集方式、</w:t>
      </w:r>
      <w:r>
        <w:rPr>
          <w:rFonts w:hint="eastAsia" w:ascii="楷体_GB2312" w:hAnsi="楷体_GB2312" w:eastAsia="楷体_GB2312" w:cs="楷体_GB2312"/>
          <w:color w:val="auto"/>
          <w:spacing w:val="5"/>
          <w:lang w:eastAsia="zh-CN"/>
        </w:rPr>
        <w:t>采集时间范畴、采集结果等要素，数据应当有负责部门，有条件</w:t>
      </w:r>
    </w:p>
    <w:p>
      <w:pPr>
        <w:pStyle w:val="2"/>
        <w:spacing w:line="560" w:lineRule="exact"/>
        <w:jc w:val="both"/>
        <w:rPr>
          <w:rFonts w:ascii="楷体_GB2312" w:hAnsi="楷体_GB2312" w:eastAsia="楷体_GB2312" w:cs="楷体_GB2312"/>
          <w:color w:val="auto"/>
        </w:rPr>
      </w:pPr>
      <w:r>
        <w:rPr>
          <w:rFonts w:hint="eastAsia" w:ascii="楷体_GB2312" w:hAnsi="楷体_GB2312" w:eastAsia="楷体_GB2312" w:cs="楷体_GB2312"/>
          <w:color w:val="auto"/>
          <w:spacing w:val="4"/>
        </w:rPr>
        <w:t>的应当设置汇总部门。</w:t>
      </w:r>
    </w:p>
    <w:p>
      <w:pPr>
        <w:pStyle w:val="2"/>
        <w:numPr>
          <w:ilvl w:val="0"/>
          <w:numId w:val="4"/>
        </w:numPr>
        <w:spacing w:line="560" w:lineRule="exact"/>
        <w:ind w:firstLine="656" w:firstLineChars="200"/>
        <w:jc w:val="both"/>
        <w:rPr>
          <w:rFonts w:ascii="楷体_GB2312" w:hAnsi="楷体_GB2312" w:eastAsia="楷体_GB2312" w:cs="楷体_GB2312"/>
          <w:color w:val="auto"/>
          <w:spacing w:val="7"/>
          <w:lang w:eastAsia="zh-CN"/>
        </w:rPr>
      </w:pPr>
      <w:r>
        <w:rPr>
          <w:rFonts w:hint="eastAsia" w:ascii="楷体_GB2312" w:hAnsi="楷体_GB2312" w:eastAsia="楷体_GB2312" w:cs="楷体_GB2312"/>
          <w:color w:val="auto"/>
          <w:spacing w:val="9"/>
          <w:lang w:eastAsia="zh-CN"/>
        </w:rPr>
        <w:t>对于计算所得的数据，应当有可追溯的原始数据。</w:t>
      </w:r>
    </w:p>
    <w:p>
      <w:pPr>
        <w:pStyle w:val="2"/>
        <w:spacing w:line="560" w:lineRule="exact"/>
        <w:ind w:left="420" w:leftChars="200" w:firstLine="328" w:firstLineChars="100"/>
        <w:jc w:val="both"/>
        <w:rPr>
          <w:rFonts w:ascii="黑体" w:hAnsi="黑体" w:eastAsia="黑体" w:cs="黑体"/>
          <w:color w:val="auto"/>
          <w:spacing w:val="7"/>
          <w:lang w:eastAsia="zh-CN"/>
        </w:rPr>
      </w:pPr>
      <w:r>
        <w:rPr>
          <w:rFonts w:hint="eastAsia" w:ascii="黑体" w:hAnsi="黑体" w:eastAsia="黑体" w:cs="黑体"/>
          <w:color w:val="auto"/>
          <w:spacing w:val="9"/>
          <w:lang w:eastAsia="zh-CN"/>
        </w:rPr>
        <w:t>九、</w:t>
      </w:r>
      <w:r>
        <w:rPr>
          <w:rFonts w:hint="eastAsia" w:ascii="黑体" w:hAnsi="黑体" w:eastAsia="黑体" w:cs="黑体"/>
          <w:color w:val="auto"/>
          <w:spacing w:val="7"/>
          <w:lang w:eastAsia="zh-CN"/>
        </w:rPr>
        <w:t>现场评审方法</w:t>
      </w:r>
    </w:p>
    <w:p>
      <w:pPr>
        <w:pStyle w:val="2"/>
        <w:spacing w:line="560" w:lineRule="exact"/>
        <w:ind w:left="420" w:leftChars="200" w:firstLine="310" w:firstLineChars="1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评审员采用下列方法对细则内逐款进行符合程度判断：</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文件查阅：</w:t>
      </w:r>
      <w:r>
        <w:rPr>
          <w:rFonts w:hint="eastAsia" w:ascii="仿宋_GB2312" w:hAnsi="仿宋_GB2312" w:eastAsia="仿宋_GB2312" w:cs="仿宋_GB2312"/>
          <w:color w:val="auto"/>
          <w:lang w:eastAsia="zh-CN"/>
        </w:rPr>
        <w:t>查看医院和科室发布的文件类资料，如职责、制度、应急预案、规范、流程、计划、报告、总结等资料。</w:t>
      </w:r>
    </w:p>
    <w:p>
      <w:pPr>
        <w:pStyle w:val="2"/>
        <w:spacing w:line="560" w:lineRule="exact"/>
        <w:ind w:right="92" w:firstLine="634"/>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记录查看：</w:t>
      </w:r>
      <w:r>
        <w:rPr>
          <w:rFonts w:hint="eastAsia" w:ascii="仿宋_GB2312" w:hAnsi="仿宋_GB2312" w:eastAsia="仿宋_GB2312" w:cs="仿宋_GB2312"/>
          <w:color w:val="auto"/>
          <w:lang w:eastAsia="zh-CN"/>
        </w:rPr>
        <w:t>查看医院和科室的工作记录，不包括患者个人相关的资料，如会议记录、签到、培训记录，考试记录、各种讨论记录等资料。</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员工访谈：</w:t>
      </w:r>
      <w:r>
        <w:rPr>
          <w:rFonts w:hint="eastAsia" w:ascii="仿宋_GB2312" w:hAnsi="仿宋_GB2312" w:eastAsia="仿宋_GB2312" w:cs="仿宋_GB2312"/>
          <w:color w:val="auto"/>
          <w:lang w:eastAsia="zh-CN"/>
        </w:rPr>
        <w:t>指现场对员工进行访谈，提问和讨论，包括开会集体访谈等。</w:t>
      </w:r>
    </w:p>
    <w:p>
      <w:pPr>
        <w:pStyle w:val="2"/>
        <w:spacing w:line="560" w:lineRule="exact"/>
        <w:ind w:right="43" w:firstLine="65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现场检查：</w:t>
      </w:r>
      <w:r>
        <w:rPr>
          <w:rFonts w:hint="eastAsia" w:ascii="仿宋_GB2312" w:hAnsi="仿宋_GB2312" w:eastAsia="仿宋_GB2312" w:cs="仿宋_GB2312"/>
          <w:color w:val="auto"/>
          <w:lang w:eastAsia="zh-CN"/>
        </w:rPr>
        <w:t>评审现场通过实地查看医院和科室的设备设施、环境、标识标牌，员工行为和协作，对照评审标准和医院要求评判符合程度。</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员工操作：</w:t>
      </w:r>
      <w:r>
        <w:rPr>
          <w:rFonts w:hint="eastAsia" w:ascii="仿宋_GB2312" w:hAnsi="仿宋_GB2312" w:eastAsia="仿宋_GB2312" w:cs="仿宋_GB2312"/>
          <w:color w:val="auto"/>
          <w:lang w:eastAsia="zh-CN"/>
        </w:rPr>
        <w:t>评审现场要求员工完成特定操作的内容。</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患者访谈：</w:t>
      </w:r>
      <w:r>
        <w:rPr>
          <w:rFonts w:hint="eastAsia" w:ascii="仿宋_GB2312" w:hAnsi="仿宋_GB2312" w:eastAsia="仿宋_GB2312" w:cs="仿宋_GB2312"/>
          <w:color w:val="auto"/>
          <w:lang w:eastAsia="zh-CN"/>
        </w:rPr>
        <w:t>评审员对患者或家属开展访谈。</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病历检查：</w:t>
      </w:r>
      <w:r>
        <w:rPr>
          <w:rFonts w:hint="eastAsia" w:ascii="仿宋_GB2312" w:hAnsi="仿宋_GB2312" w:eastAsia="仿宋_GB2312" w:cs="仿宋_GB2312"/>
          <w:color w:val="auto"/>
          <w:lang w:eastAsia="zh-CN"/>
        </w:rPr>
        <w:t>评审现场对运行病历进行检查。</w:t>
      </w:r>
    </w:p>
    <w:p>
      <w:pPr>
        <w:pStyle w:val="2"/>
        <w:spacing w:line="560" w:lineRule="exact"/>
        <w:ind w:firstLine="622"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病案检查：</w:t>
      </w:r>
      <w:r>
        <w:rPr>
          <w:rFonts w:hint="eastAsia" w:ascii="仿宋_GB2312" w:hAnsi="仿宋_GB2312" w:eastAsia="仿宋_GB2312" w:cs="仿宋_GB2312"/>
          <w:color w:val="auto"/>
          <w:lang w:eastAsia="zh-CN"/>
        </w:rPr>
        <w:t>评审员提前或现场对特定归档病案进行检查。</w:t>
      </w:r>
    </w:p>
    <w:p>
      <w:pPr>
        <w:pStyle w:val="2"/>
        <w:spacing w:line="560" w:lineRule="exact"/>
        <w:ind w:firstLine="622" w:firstLineChars="200"/>
        <w:jc w:val="both"/>
        <w:rPr>
          <w:rFonts w:ascii="仿宋_GB2312" w:hAnsi="仿宋_GB2312" w:eastAsia="仿宋_GB2312" w:cs="仿宋_GB2312"/>
          <w:b/>
          <w:bCs/>
          <w:color w:val="auto"/>
          <w:lang w:eastAsia="zh-CN"/>
        </w:rPr>
        <w:sectPr>
          <w:footerReference r:id="rId4" w:type="default"/>
          <w:pgSz w:w="11906" w:h="16839"/>
          <w:pgMar w:top="1431" w:right="1435" w:bottom="1156" w:left="1542" w:header="0" w:footer="994" w:gutter="0"/>
          <w:pgNumType w:fmt="numberInDash"/>
          <w:cols w:space="720" w:num="1"/>
        </w:sectPr>
      </w:pPr>
      <w:r>
        <w:rPr>
          <w:rFonts w:hint="eastAsia" w:ascii="仿宋_GB2312" w:hAnsi="仿宋_GB2312" w:eastAsia="仿宋_GB2312" w:cs="仿宋_GB2312"/>
          <w:b/>
          <w:bCs/>
          <w:color w:val="auto"/>
          <w:lang w:eastAsia="zh-CN"/>
        </w:rPr>
        <w:t>数据核查：</w:t>
      </w:r>
      <w:r>
        <w:rPr>
          <w:rFonts w:hint="eastAsia" w:ascii="仿宋_GB2312" w:hAnsi="仿宋_GB2312" w:eastAsia="仿宋_GB2312" w:cs="仿宋_GB2312"/>
          <w:color w:val="auto"/>
          <w:lang w:eastAsia="zh-CN"/>
        </w:rPr>
        <w:t>同第七。</w:t>
      </w:r>
    </w:p>
    <w:p>
      <w:pPr>
        <w:spacing w:line="338" w:lineRule="auto"/>
        <w:rPr>
          <w:color w:val="auto"/>
          <w:lang w:eastAsia="zh-CN"/>
        </w:rPr>
      </w:pPr>
    </w:p>
    <w:sdt>
      <w:sdtPr>
        <w:rPr>
          <w:rFonts w:ascii="宋体" w:hAnsi="宋体" w:eastAsia="宋体" w:cs="宋体"/>
          <w:color w:val="auto"/>
          <w:sz w:val="43"/>
          <w:szCs w:val="43"/>
        </w:rPr>
        <w:id w:val="1"/>
        <w:docPartObj>
          <w:docPartGallery w:val="Table of Contents"/>
          <w:docPartUnique/>
        </w:docPartObj>
      </w:sdtPr>
      <w:sdtEndPr>
        <w:rPr>
          <w:rFonts w:hint="eastAsia" w:ascii="仿宋_GB2312" w:hAnsi="仿宋_GB2312" w:eastAsia="仿宋_GB2312" w:cs="仿宋_GB2312"/>
          <w:color w:val="auto"/>
          <w:sz w:val="31"/>
          <w:szCs w:val="31"/>
        </w:rPr>
      </w:sdtEndPr>
      <w:sdtContent>
        <w:p>
          <w:pPr>
            <w:spacing w:before="139" w:line="216" w:lineRule="auto"/>
            <w:ind w:left="3578"/>
            <w:rPr>
              <w:rFonts w:ascii="宋体" w:hAnsi="宋体" w:eastAsia="宋体" w:cs="宋体"/>
              <w:color w:val="auto"/>
              <w:sz w:val="43"/>
              <w:szCs w:val="43"/>
              <w:lang w:eastAsia="zh-CN"/>
            </w:rPr>
          </w:pPr>
          <w:r>
            <w:rPr>
              <w:rFonts w:ascii="宋体" w:hAnsi="宋体" w:eastAsia="宋体" w:cs="宋体"/>
              <w:color w:val="auto"/>
              <w:spacing w:val="-32"/>
              <w:sz w:val="43"/>
              <w:szCs w:val="43"/>
              <w:lang w:eastAsia="zh-CN"/>
            </w:rPr>
            <w:t>目录</w:t>
          </w:r>
        </w:p>
        <w:p>
          <w:pPr>
            <w:spacing w:line="267" w:lineRule="auto"/>
            <w:rPr>
              <w:color w:val="auto"/>
              <w:lang w:eastAsia="zh-CN"/>
            </w:rPr>
          </w:pPr>
        </w:p>
        <w:p>
          <w:pPr>
            <w:spacing w:line="267" w:lineRule="auto"/>
            <w:rPr>
              <w:color w:val="auto"/>
              <w:lang w:eastAsia="zh-CN"/>
            </w:rPr>
          </w:pPr>
        </w:p>
        <w:p>
          <w:pPr>
            <w:spacing w:line="267" w:lineRule="auto"/>
            <w:rPr>
              <w:color w:val="auto"/>
              <w:lang w:eastAsia="zh-CN"/>
            </w:rPr>
          </w:pPr>
        </w:p>
        <w:p>
          <w:pPr>
            <w:pStyle w:val="2"/>
            <w:tabs>
              <w:tab w:val="right" w:leader="dot" w:pos="8587"/>
            </w:tabs>
            <w:spacing w:before="101" w:line="222" w:lineRule="auto"/>
            <w:ind w:left="414"/>
            <w:rPr>
              <w:rFonts w:ascii="仿宋_GB2312" w:hAnsi="仿宋_GB2312" w:eastAsia="仿宋_GB2312" w:cs="仿宋_GB2312"/>
              <w:color w:val="auto"/>
              <w:lang w:eastAsia="zh-CN"/>
            </w:rPr>
          </w:pPr>
          <w:r>
            <w:rPr>
              <w:rFonts w:hint="eastAsia" w:ascii="仿宋_GB2312" w:hAnsi="仿宋_GB2312" w:eastAsia="仿宋_GB2312" w:cs="仿宋_GB2312"/>
              <w:color w:val="auto"/>
              <w:spacing w:val="3"/>
              <w:lang w:eastAsia="zh-CN"/>
            </w:rPr>
            <w:t>第一部分前置条件</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21"/>
              <w:lang w:eastAsia="zh-CN"/>
            </w:rPr>
            <w:t>-</w:t>
          </w:r>
          <w:r>
            <w:fldChar w:fldCharType="begin"/>
          </w:r>
          <w:r>
            <w:instrText xml:space="preserve"> HYPERLINK \l "bookmark1" </w:instrText>
          </w:r>
          <w:r>
            <w:fldChar w:fldCharType="separate"/>
          </w:r>
          <w:r>
            <w:rPr>
              <w:rFonts w:hint="eastAsia" w:ascii="仿宋_GB2312" w:hAnsi="仿宋_GB2312" w:eastAsia="仿宋_GB2312" w:cs="仿宋_GB2312"/>
              <w:color w:val="auto"/>
              <w:spacing w:val="-20"/>
              <w:lang w:eastAsia="zh-CN"/>
            </w:rPr>
            <w:t>1</w:t>
          </w:r>
          <w:r>
            <w:rPr>
              <w:rFonts w:hint="eastAsia" w:ascii="仿宋_GB2312" w:hAnsi="仿宋_GB2312" w:eastAsia="仿宋_GB2312" w:cs="仿宋_GB2312"/>
              <w:color w:val="auto"/>
              <w:spacing w:val="-20"/>
              <w:lang w:eastAsia="zh-CN"/>
            </w:rPr>
            <w:fldChar w:fldCharType="end"/>
          </w:r>
          <w:r>
            <w:rPr>
              <w:rFonts w:hint="eastAsia" w:ascii="仿宋_GB2312" w:hAnsi="仿宋_GB2312" w:eastAsia="仿宋_GB2312" w:cs="仿宋_GB2312"/>
              <w:color w:val="auto"/>
              <w:spacing w:val="-13"/>
              <w:lang w:eastAsia="zh-CN"/>
            </w:rPr>
            <w:t>-</w:t>
          </w:r>
        </w:p>
        <w:p>
          <w:pPr>
            <w:pStyle w:val="2"/>
            <w:tabs>
              <w:tab w:val="right" w:leader="dot" w:pos="8587"/>
            </w:tabs>
            <w:spacing w:before="187" w:line="223" w:lineRule="auto"/>
            <w:ind w:left="1042"/>
            <w:rPr>
              <w:rFonts w:ascii="仿宋_GB2312" w:hAnsi="仿宋_GB2312" w:eastAsia="仿宋_GB2312" w:cs="仿宋_GB2312"/>
              <w:color w:val="auto"/>
              <w:lang w:eastAsia="zh-CN"/>
            </w:rPr>
          </w:pPr>
          <w:r>
            <w:rPr>
              <w:rFonts w:hint="eastAsia" w:ascii="仿宋_GB2312" w:hAnsi="仿宋_GB2312" w:eastAsia="仿宋_GB2312" w:cs="仿宋_GB2312"/>
              <w:color w:val="auto"/>
              <w:spacing w:val="8"/>
              <w:lang w:eastAsia="zh-CN"/>
            </w:rPr>
            <w:t>一、依法设置与执业</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21"/>
              <w:lang w:eastAsia="zh-CN"/>
            </w:rPr>
            <w:t>-</w:t>
          </w:r>
          <w:r>
            <w:fldChar w:fldCharType="begin"/>
          </w:r>
          <w:r>
            <w:instrText xml:space="preserve"> HYPERLINK \l "bookmark2" </w:instrText>
          </w:r>
          <w:r>
            <w:fldChar w:fldCharType="separate"/>
          </w:r>
          <w:r>
            <w:rPr>
              <w:rFonts w:hint="eastAsia" w:ascii="仿宋_GB2312" w:hAnsi="仿宋_GB2312" w:eastAsia="仿宋_GB2312" w:cs="仿宋_GB2312"/>
              <w:color w:val="auto"/>
              <w:spacing w:val="-20"/>
              <w:lang w:eastAsia="zh-CN"/>
            </w:rPr>
            <w:t>1</w:t>
          </w:r>
          <w:r>
            <w:rPr>
              <w:rFonts w:hint="eastAsia" w:ascii="仿宋_GB2312" w:hAnsi="仿宋_GB2312" w:eastAsia="仿宋_GB2312" w:cs="仿宋_GB2312"/>
              <w:color w:val="auto"/>
              <w:spacing w:val="-20"/>
              <w:lang w:eastAsia="zh-CN"/>
            </w:rPr>
            <w:fldChar w:fldCharType="end"/>
          </w:r>
          <w:r>
            <w:rPr>
              <w:rFonts w:hint="eastAsia" w:ascii="仿宋_GB2312" w:hAnsi="仿宋_GB2312" w:eastAsia="仿宋_GB2312" w:cs="仿宋_GB2312"/>
              <w:color w:val="auto"/>
              <w:spacing w:val="-13"/>
              <w:lang w:eastAsia="zh-CN"/>
            </w:rPr>
            <w:t>-</w:t>
          </w:r>
        </w:p>
        <w:p>
          <w:pPr>
            <w:pStyle w:val="2"/>
            <w:tabs>
              <w:tab w:val="right" w:leader="dot" w:pos="8587"/>
            </w:tabs>
            <w:spacing w:before="184" w:line="220" w:lineRule="auto"/>
            <w:ind w:left="1054"/>
            <w:rPr>
              <w:rFonts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二、公益性责任和行风诚信</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10"/>
              <w:lang w:eastAsia="zh-CN"/>
            </w:rPr>
            <w:t>-</w:t>
          </w:r>
          <w:r>
            <w:fldChar w:fldCharType="begin"/>
          </w:r>
          <w:r>
            <w:instrText xml:space="preserve"> HYPERLINK \l "bookmark3" </w:instrText>
          </w:r>
          <w:r>
            <w:fldChar w:fldCharType="separate"/>
          </w:r>
          <w:r>
            <w:rPr>
              <w:rFonts w:hint="eastAsia" w:ascii="仿宋_GB2312" w:hAnsi="仿宋_GB2312" w:eastAsia="仿宋_GB2312" w:cs="仿宋_GB2312"/>
              <w:color w:val="auto"/>
              <w:spacing w:val="-10"/>
              <w:lang w:eastAsia="zh-CN"/>
            </w:rPr>
            <w:t>3</w:t>
          </w:r>
          <w:r>
            <w:rPr>
              <w:rFonts w:hint="eastAsia" w:ascii="仿宋_GB2312" w:hAnsi="仿宋_GB2312" w:eastAsia="仿宋_GB2312" w:cs="仿宋_GB2312"/>
              <w:color w:val="auto"/>
              <w:spacing w:val="-10"/>
              <w:lang w:eastAsia="zh-CN"/>
            </w:rPr>
            <w:fldChar w:fldCharType="end"/>
          </w:r>
          <w:r>
            <w:rPr>
              <w:rFonts w:hint="eastAsia" w:ascii="仿宋_GB2312" w:hAnsi="仿宋_GB2312" w:eastAsia="仿宋_GB2312" w:cs="仿宋_GB2312"/>
              <w:color w:val="auto"/>
              <w:spacing w:val="-10"/>
              <w:lang w:eastAsia="zh-CN"/>
            </w:rPr>
            <w:t>-</w:t>
          </w:r>
        </w:p>
        <w:p>
          <w:pPr>
            <w:pStyle w:val="2"/>
            <w:tabs>
              <w:tab w:val="right" w:leader="dot" w:pos="8587"/>
            </w:tabs>
            <w:spacing w:before="192" w:line="222" w:lineRule="auto"/>
            <w:ind w:left="1060"/>
            <w:rPr>
              <w:rFonts w:ascii="仿宋_GB2312" w:hAnsi="仿宋_GB2312" w:eastAsia="仿宋_GB2312" w:cs="仿宋_GB2312"/>
              <w:color w:val="auto"/>
              <w:lang w:eastAsia="zh-CN"/>
            </w:rPr>
          </w:pPr>
          <w:r>
            <w:rPr>
              <w:rFonts w:hint="eastAsia" w:ascii="仿宋_GB2312" w:hAnsi="仿宋_GB2312" w:eastAsia="仿宋_GB2312" w:cs="仿宋_GB2312"/>
              <w:color w:val="auto"/>
              <w:spacing w:val="6"/>
              <w:lang w:eastAsia="zh-CN"/>
            </w:rPr>
            <w:t>三、安全管理与重大事件</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7"/>
              <w:lang w:eastAsia="zh-CN"/>
            </w:rPr>
            <w:t>-</w:t>
          </w:r>
          <w:r>
            <w:fldChar w:fldCharType="begin"/>
          </w:r>
          <w:r>
            <w:instrText xml:space="preserve"> HYPERLINK \l "bookmark4" </w:instrText>
          </w:r>
          <w:r>
            <w:fldChar w:fldCharType="separate"/>
          </w:r>
          <w:r>
            <w:rPr>
              <w:rFonts w:hint="eastAsia" w:ascii="仿宋_GB2312" w:hAnsi="仿宋_GB2312" w:eastAsia="仿宋_GB2312" w:cs="仿宋_GB2312"/>
              <w:color w:val="auto"/>
              <w:spacing w:val="-7"/>
              <w:lang w:eastAsia="zh-CN"/>
            </w:rPr>
            <w:t>4</w:t>
          </w:r>
          <w:r>
            <w:rPr>
              <w:rFonts w:hint="eastAsia" w:ascii="仿宋_GB2312" w:hAnsi="仿宋_GB2312" w:eastAsia="仿宋_GB2312" w:cs="仿宋_GB2312"/>
              <w:color w:val="auto"/>
              <w:spacing w:val="-7"/>
              <w:lang w:eastAsia="zh-CN"/>
            </w:rPr>
            <w:fldChar w:fldCharType="end"/>
          </w:r>
          <w:r>
            <w:rPr>
              <w:rFonts w:hint="eastAsia" w:ascii="仿宋_GB2312" w:hAnsi="仿宋_GB2312" w:eastAsia="仿宋_GB2312" w:cs="仿宋_GB2312"/>
              <w:color w:val="auto"/>
              <w:spacing w:val="-7"/>
              <w:lang w:eastAsia="zh-CN"/>
            </w:rPr>
            <w:t>-</w:t>
          </w:r>
        </w:p>
        <w:p>
          <w:pPr>
            <w:pStyle w:val="2"/>
            <w:tabs>
              <w:tab w:val="right" w:leader="dot" w:pos="8587"/>
            </w:tabs>
            <w:spacing w:before="185" w:line="222" w:lineRule="auto"/>
            <w:ind w:left="414"/>
            <w:rPr>
              <w:rFonts w:ascii="仿宋_GB2312" w:hAnsi="仿宋_GB2312" w:eastAsia="仿宋_GB2312" w:cs="仿宋_GB2312"/>
              <w:color w:val="auto"/>
              <w:lang w:eastAsia="zh-CN"/>
            </w:rPr>
          </w:pPr>
          <w:r>
            <w:rPr>
              <w:rFonts w:hint="eastAsia" w:ascii="仿宋_GB2312" w:hAnsi="仿宋_GB2312" w:eastAsia="仿宋_GB2312" w:cs="仿宋_GB2312"/>
              <w:color w:val="auto"/>
              <w:spacing w:val="8"/>
              <w:lang w:eastAsia="zh-CN"/>
            </w:rPr>
            <w:t>第二部分医疗服务能力与质量安全监测数据</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11"/>
              <w:lang w:eastAsia="zh-CN"/>
            </w:rPr>
            <w:t>-</w:t>
          </w:r>
          <w:r>
            <w:fldChar w:fldCharType="begin"/>
          </w:r>
          <w:r>
            <w:instrText xml:space="preserve"> HYPERLINK \l "bookmark5" </w:instrText>
          </w:r>
          <w:r>
            <w:fldChar w:fldCharType="separate"/>
          </w:r>
          <w:r>
            <w:rPr>
              <w:rFonts w:hint="eastAsia" w:ascii="仿宋_GB2312" w:hAnsi="仿宋_GB2312" w:eastAsia="仿宋_GB2312" w:cs="仿宋_GB2312"/>
              <w:color w:val="auto"/>
              <w:spacing w:val="-11"/>
              <w:lang w:eastAsia="zh-CN"/>
            </w:rPr>
            <w:t>5</w:t>
          </w:r>
          <w:r>
            <w:rPr>
              <w:rFonts w:hint="eastAsia" w:ascii="仿宋_GB2312" w:hAnsi="仿宋_GB2312" w:eastAsia="仿宋_GB2312" w:cs="仿宋_GB2312"/>
              <w:color w:val="auto"/>
              <w:spacing w:val="-11"/>
              <w:lang w:eastAsia="zh-CN"/>
            </w:rPr>
            <w:fldChar w:fldCharType="end"/>
          </w:r>
          <w:r>
            <w:rPr>
              <w:rFonts w:hint="eastAsia" w:ascii="仿宋_GB2312" w:hAnsi="仿宋_GB2312" w:eastAsia="仿宋_GB2312" w:cs="仿宋_GB2312"/>
              <w:color w:val="auto"/>
              <w:spacing w:val="-11"/>
              <w:lang w:eastAsia="zh-CN"/>
            </w:rPr>
            <w:t>-</w:t>
          </w:r>
        </w:p>
        <w:p>
          <w:pPr>
            <w:pStyle w:val="2"/>
            <w:tabs>
              <w:tab w:val="right" w:leader="dot" w:pos="8587"/>
            </w:tabs>
            <w:spacing w:before="187" w:line="221"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第一章资源配置与运行数据指标</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10"/>
              <w:lang w:eastAsia="zh-CN"/>
            </w:rPr>
            <w:t>-</w:t>
          </w:r>
          <w:r>
            <w:fldChar w:fldCharType="begin"/>
          </w:r>
          <w:r>
            <w:instrText xml:space="preserve"> HYPERLINK \l "bookmark6" </w:instrText>
          </w:r>
          <w:r>
            <w:fldChar w:fldCharType="separate"/>
          </w:r>
          <w:r>
            <w:rPr>
              <w:rFonts w:hint="eastAsia" w:ascii="仿宋_GB2312" w:hAnsi="仿宋_GB2312" w:eastAsia="仿宋_GB2312" w:cs="仿宋_GB2312"/>
              <w:color w:val="auto"/>
              <w:spacing w:val="-10"/>
              <w:lang w:eastAsia="zh-CN"/>
            </w:rPr>
            <w:t>6</w:t>
          </w:r>
          <w:r>
            <w:rPr>
              <w:rFonts w:hint="eastAsia" w:ascii="仿宋_GB2312" w:hAnsi="仿宋_GB2312" w:eastAsia="仿宋_GB2312" w:cs="仿宋_GB2312"/>
              <w:color w:val="auto"/>
              <w:spacing w:val="-10"/>
              <w:lang w:eastAsia="zh-CN"/>
            </w:rPr>
            <w:fldChar w:fldCharType="end"/>
          </w:r>
          <w:r>
            <w:rPr>
              <w:rFonts w:hint="eastAsia" w:ascii="仿宋_GB2312" w:hAnsi="仿宋_GB2312" w:eastAsia="仿宋_GB2312" w:cs="仿宋_GB2312"/>
              <w:color w:val="auto"/>
              <w:spacing w:val="-10"/>
              <w:lang w:eastAsia="zh-CN"/>
            </w:rPr>
            <w:t>-</w:t>
          </w:r>
        </w:p>
        <w:p>
          <w:pPr>
            <w:pStyle w:val="2"/>
            <w:tabs>
              <w:tab w:val="right" w:leader="dot" w:pos="8587"/>
            </w:tabs>
            <w:spacing w:before="190"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5"/>
              <w:lang w:eastAsia="zh-CN"/>
            </w:rPr>
            <w:t>第二章医疗服务能力与医院质量安全指标</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12"/>
              <w:lang w:eastAsia="zh-CN"/>
            </w:rPr>
            <w:t>-</w:t>
          </w:r>
          <w:r>
            <w:fldChar w:fldCharType="begin"/>
          </w:r>
          <w:r>
            <w:instrText xml:space="preserve"> HYPERLINK \l "bookmark7" </w:instrText>
          </w:r>
          <w:r>
            <w:fldChar w:fldCharType="separate"/>
          </w:r>
          <w:r>
            <w:rPr>
              <w:rFonts w:hint="eastAsia" w:ascii="仿宋_GB2312" w:hAnsi="仿宋_GB2312" w:eastAsia="仿宋_GB2312" w:cs="仿宋_GB2312"/>
              <w:color w:val="auto"/>
              <w:spacing w:val="-12"/>
              <w:lang w:eastAsia="zh-CN"/>
            </w:rPr>
            <w:t>1</w:t>
          </w:r>
          <w:r>
            <w:rPr>
              <w:rFonts w:hint="eastAsia" w:ascii="仿宋_GB2312" w:hAnsi="仿宋_GB2312" w:eastAsia="仿宋_GB2312" w:cs="仿宋_GB2312"/>
              <w:color w:val="auto"/>
              <w:spacing w:val="-12"/>
              <w:lang w:eastAsia="zh-CN"/>
            </w:rPr>
            <w:fldChar w:fldCharType="end"/>
          </w:r>
          <w:r>
            <w:rPr>
              <w:rFonts w:hint="eastAsia" w:ascii="仿宋_GB2312" w:hAnsi="仿宋_GB2312" w:eastAsia="仿宋_GB2312" w:cs="仿宋_GB2312"/>
              <w:color w:val="auto"/>
              <w:spacing w:val="-12"/>
              <w:lang w:eastAsia="zh-CN"/>
            </w:rPr>
            <w:t>6-</w:t>
          </w:r>
        </w:p>
        <w:p>
          <w:pPr>
            <w:pStyle w:val="2"/>
            <w:tabs>
              <w:tab w:val="right" w:leader="dot" w:pos="8587"/>
            </w:tabs>
            <w:spacing w:before="187"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第三章重点专业质量控制指标</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5"/>
              <w:lang w:eastAsia="zh-CN"/>
            </w:rPr>
            <w:t>-</w:t>
          </w:r>
          <w:r>
            <w:fldChar w:fldCharType="begin"/>
          </w:r>
          <w:r>
            <w:instrText xml:space="preserve"> HYPERLINK \l "bookmark8" </w:instrText>
          </w:r>
          <w:r>
            <w:fldChar w:fldCharType="separate"/>
          </w:r>
          <w:r>
            <w:rPr>
              <w:rFonts w:hint="eastAsia" w:ascii="仿宋_GB2312" w:hAnsi="仿宋_GB2312" w:eastAsia="仿宋_GB2312" w:cs="仿宋_GB2312"/>
              <w:color w:val="auto"/>
              <w:spacing w:val="-5"/>
              <w:lang w:eastAsia="zh-CN"/>
            </w:rPr>
            <w:t>2</w:t>
          </w:r>
          <w:r>
            <w:rPr>
              <w:rFonts w:hint="eastAsia" w:ascii="仿宋_GB2312" w:hAnsi="仿宋_GB2312" w:eastAsia="仿宋_GB2312" w:cs="仿宋_GB2312"/>
              <w:color w:val="auto"/>
              <w:spacing w:val="-5"/>
              <w:lang w:eastAsia="zh-CN"/>
            </w:rPr>
            <w:fldChar w:fldCharType="end"/>
          </w:r>
          <w:r>
            <w:rPr>
              <w:rFonts w:hint="eastAsia" w:ascii="仿宋_GB2312" w:hAnsi="仿宋_GB2312" w:eastAsia="仿宋_GB2312" w:cs="仿宋_GB2312"/>
              <w:color w:val="auto"/>
              <w:spacing w:val="-5"/>
              <w:lang w:eastAsia="zh-CN"/>
            </w:rPr>
            <w:t>3-</w:t>
          </w:r>
        </w:p>
        <w:p>
          <w:pPr>
            <w:pStyle w:val="2"/>
            <w:tabs>
              <w:tab w:val="right" w:leader="dot" w:pos="8587"/>
            </w:tabs>
            <w:spacing w:before="186"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第四章住院重点疾病质量控制指标</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7"/>
              <w:lang w:eastAsia="zh-CN"/>
            </w:rPr>
            <w:t>-</w:t>
          </w:r>
          <w:r>
            <w:fldChar w:fldCharType="begin"/>
          </w:r>
          <w:r>
            <w:instrText xml:space="preserve"> HYPERLINK \l "bookmark9" </w:instrText>
          </w:r>
          <w:r>
            <w:fldChar w:fldCharType="separate"/>
          </w:r>
          <w:r>
            <w:rPr>
              <w:rFonts w:hint="eastAsia" w:ascii="仿宋_GB2312" w:hAnsi="仿宋_GB2312" w:eastAsia="仿宋_GB2312" w:cs="仿宋_GB2312"/>
              <w:color w:val="auto"/>
              <w:spacing w:val="-7"/>
              <w:lang w:eastAsia="zh-CN"/>
            </w:rPr>
            <w:t>5</w:t>
          </w:r>
          <w:r>
            <w:rPr>
              <w:rFonts w:hint="eastAsia" w:ascii="仿宋_GB2312" w:hAnsi="仿宋_GB2312" w:eastAsia="仿宋_GB2312" w:cs="仿宋_GB2312"/>
              <w:color w:val="auto"/>
              <w:spacing w:val="-7"/>
              <w:lang w:eastAsia="zh-CN"/>
            </w:rPr>
            <w:fldChar w:fldCharType="end"/>
          </w:r>
          <w:r>
            <w:rPr>
              <w:rFonts w:hint="eastAsia" w:ascii="仿宋_GB2312" w:hAnsi="仿宋_GB2312" w:eastAsia="仿宋_GB2312" w:cs="仿宋_GB2312"/>
              <w:color w:val="auto"/>
              <w:spacing w:val="-7"/>
              <w:lang w:eastAsia="zh-CN"/>
            </w:rPr>
            <w:t>3-</w:t>
          </w:r>
        </w:p>
        <w:p>
          <w:pPr>
            <w:pStyle w:val="2"/>
            <w:tabs>
              <w:tab w:val="right" w:leader="dot" w:pos="8587"/>
            </w:tabs>
            <w:spacing w:before="190" w:line="220" w:lineRule="auto"/>
            <w:ind w:left="414"/>
            <w:rPr>
              <w:rFonts w:ascii="仿宋_GB2312" w:hAnsi="仿宋_GB2312" w:eastAsia="仿宋_GB2312" w:cs="仿宋_GB2312"/>
              <w:color w:val="auto"/>
              <w:lang w:eastAsia="zh-CN"/>
            </w:rPr>
          </w:pPr>
          <w:r>
            <w:rPr>
              <w:rFonts w:hint="eastAsia" w:ascii="仿宋_GB2312" w:hAnsi="仿宋_GB2312" w:eastAsia="仿宋_GB2312" w:cs="仿宋_GB2312"/>
              <w:color w:val="auto"/>
              <w:spacing w:val="3"/>
              <w:lang w:eastAsia="zh-CN"/>
            </w:rPr>
            <w:t>第三部分现场检查</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6"/>
              <w:lang w:eastAsia="zh-CN"/>
            </w:rPr>
            <w:t>-</w:t>
          </w:r>
          <w:r>
            <w:fldChar w:fldCharType="begin"/>
          </w:r>
          <w:r>
            <w:instrText xml:space="preserve"> HYPERLINK \l "bookmark10" </w:instrText>
          </w:r>
          <w:r>
            <w:fldChar w:fldCharType="separate"/>
          </w:r>
          <w:r>
            <w:rPr>
              <w:rFonts w:hint="eastAsia" w:ascii="仿宋_GB2312" w:hAnsi="仿宋_GB2312" w:eastAsia="仿宋_GB2312" w:cs="仿宋_GB2312"/>
              <w:color w:val="auto"/>
              <w:spacing w:val="-6"/>
              <w:lang w:eastAsia="zh-CN"/>
            </w:rPr>
            <w:t>6</w:t>
          </w:r>
          <w:r>
            <w:rPr>
              <w:rFonts w:hint="eastAsia" w:ascii="仿宋_GB2312" w:hAnsi="仿宋_GB2312" w:eastAsia="仿宋_GB2312" w:cs="仿宋_GB2312"/>
              <w:color w:val="auto"/>
              <w:spacing w:val="-6"/>
              <w:lang w:eastAsia="zh-CN"/>
            </w:rPr>
            <w:fldChar w:fldCharType="end"/>
          </w:r>
          <w:r>
            <w:rPr>
              <w:rFonts w:hint="eastAsia" w:ascii="仿宋_GB2312" w:hAnsi="仿宋_GB2312" w:eastAsia="仿宋_GB2312" w:cs="仿宋_GB2312"/>
              <w:color w:val="auto"/>
              <w:spacing w:val="-6"/>
              <w:lang w:eastAsia="zh-CN"/>
            </w:rPr>
            <w:t>0-</w:t>
          </w:r>
        </w:p>
        <w:p>
          <w:pPr>
            <w:pStyle w:val="2"/>
            <w:tabs>
              <w:tab w:val="right" w:leader="dot" w:pos="8587"/>
            </w:tabs>
            <w:spacing w:before="189"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第一章医院功能与任务</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6"/>
              <w:lang w:eastAsia="zh-CN"/>
            </w:rPr>
            <w:t>-</w:t>
          </w:r>
          <w:r>
            <w:fldChar w:fldCharType="begin"/>
          </w:r>
          <w:r>
            <w:instrText xml:space="preserve"> HYPERLINK \l "bookmark11" </w:instrText>
          </w:r>
          <w:r>
            <w:fldChar w:fldCharType="separate"/>
          </w:r>
          <w:r>
            <w:rPr>
              <w:rFonts w:hint="eastAsia" w:ascii="仿宋_GB2312" w:hAnsi="仿宋_GB2312" w:eastAsia="仿宋_GB2312" w:cs="仿宋_GB2312"/>
              <w:color w:val="auto"/>
              <w:spacing w:val="-6"/>
              <w:lang w:eastAsia="zh-CN"/>
            </w:rPr>
            <w:t>6</w:t>
          </w:r>
          <w:r>
            <w:rPr>
              <w:rFonts w:hint="eastAsia" w:ascii="仿宋_GB2312" w:hAnsi="仿宋_GB2312" w:eastAsia="仿宋_GB2312" w:cs="仿宋_GB2312"/>
              <w:color w:val="auto"/>
              <w:spacing w:val="-6"/>
              <w:lang w:eastAsia="zh-CN"/>
            </w:rPr>
            <w:fldChar w:fldCharType="end"/>
          </w:r>
          <w:r>
            <w:rPr>
              <w:rFonts w:hint="eastAsia" w:ascii="仿宋_GB2312" w:hAnsi="仿宋_GB2312" w:eastAsia="仿宋_GB2312" w:cs="仿宋_GB2312"/>
              <w:color w:val="auto"/>
              <w:spacing w:val="-6"/>
              <w:lang w:eastAsia="zh-CN"/>
            </w:rPr>
            <w:t>0-</w:t>
          </w:r>
        </w:p>
        <w:p>
          <w:pPr>
            <w:pStyle w:val="2"/>
            <w:tabs>
              <w:tab w:val="right" w:leader="dot" w:pos="8587"/>
            </w:tabs>
            <w:spacing w:before="187"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第二章临床服务质量与安全管理</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6"/>
              <w:lang w:eastAsia="zh-CN"/>
            </w:rPr>
            <w:t>-</w:t>
          </w:r>
          <w:r>
            <w:fldChar w:fldCharType="begin"/>
          </w:r>
          <w:r>
            <w:instrText xml:space="preserve"> HYPERLINK \l "bookmark12" </w:instrText>
          </w:r>
          <w:r>
            <w:fldChar w:fldCharType="separate"/>
          </w:r>
          <w:r>
            <w:rPr>
              <w:rFonts w:hint="eastAsia" w:ascii="仿宋_GB2312" w:hAnsi="仿宋_GB2312" w:eastAsia="仿宋_GB2312" w:cs="仿宋_GB2312"/>
              <w:color w:val="auto"/>
              <w:spacing w:val="-6"/>
              <w:lang w:eastAsia="zh-CN"/>
            </w:rPr>
            <w:t>6</w:t>
          </w:r>
          <w:r>
            <w:rPr>
              <w:rFonts w:hint="eastAsia" w:ascii="仿宋_GB2312" w:hAnsi="仿宋_GB2312" w:eastAsia="仿宋_GB2312" w:cs="仿宋_GB2312"/>
              <w:color w:val="auto"/>
              <w:spacing w:val="-6"/>
              <w:lang w:eastAsia="zh-CN"/>
            </w:rPr>
            <w:fldChar w:fldCharType="end"/>
          </w:r>
          <w:r>
            <w:rPr>
              <w:rFonts w:hint="eastAsia" w:ascii="仿宋_GB2312" w:hAnsi="仿宋_GB2312" w:eastAsia="仿宋_GB2312" w:cs="仿宋_GB2312"/>
              <w:color w:val="auto"/>
              <w:spacing w:val="-6"/>
              <w:lang w:eastAsia="zh-CN"/>
            </w:rPr>
            <w:t>4-</w:t>
          </w:r>
        </w:p>
        <w:p>
          <w:pPr>
            <w:pStyle w:val="2"/>
            <w:tabs>
              <w:tab w:val="right" w:leader="dot" w:pos="8587"/>
            </w:tabs>
            <w:spacing w:before="189"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第三章医院管理</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9"/>
              <w:lang w:eastAsia="zh-CN"/>
            </w:rPr>
            <w:t>-</w:t>
          </w:r>
          <w:r>
            <w:fldChar w:fldCharType="begin"/>
          </w:r>
          <w:r>
            <w:instrText xml:space="preserve"> HYPERLINK \l "bookmark13" </w:instrText>
          </w:r>
          <w:r>
            <w:fldChar w:fldCharType="separate"/>
          </w:r>
          <w:r>
            <w:rPr>
              <w:rFonts w:hint="eastAsia" w:ascii="仿宋_GB2312" w:hAnsi="仿宋_GB2312" w:eastAsia="仿宋_GB2312" w:cs="仿宋_GB2312"/>
              <w:color w:val="auto"/>
              <w:spacing w:val="-9"/>
              <w:lang w:eastAsia="zh-CN"/>
            </w:rPr>
            <w:t>1</w:t>
          </w:r>
          <w:r>
            <w:rPr>
              <w:rFonts w:hint="eastAsia" w:ascii="仿宋_GB2312" w:hAnsi="仿宋_GB2312" w:eastAsia="仿宋_GB2312" w:cs="仿宋_GB2312"/>
              <w:color w:val="auto"/>
              <w:spacing w:val="-9"/>
              <w:lang w:eastAsia="zh-CN"/>
            </w:rPr>
            <w:fldChar w:fldCharType="end"/>
          </w:r>
          <w:r>
            <w:rPr>
              <w:rFonts w:hint="eastAsia" w:ascii="仿宋_GB2312" w:hAnsi="仿宋_GB2312" w:eastAsia="仿宋_GB2312" w:cs="仿宋_GB2312"/>
              <w:color w:val="auto"/>
              <w:spacing w:val="-9"/>
              <w:lang w:eastAsia="zh-CN"/>
            </w:rPr>
            <w:t>42-</w:t>
          </w:r>
        </w:p>
        <w:p>
          <w:pPr>
            <w:pStyle w:val="2"/>
            <w:tabs>
              <w:tab w:val="right" w:leader="dot" w:pos="8587"/>
            </w:tabs>
            <w:spacing w:before="185" w:line="222" w:lineRule="auto"/>
            <w:ind w:left="1053"/>
            <w:rPr>
              <w:rFonts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第四章补充条款</w:t>
          </w:r>
          <w:r>
            <w:rPr>
              <w:rFonts w:hint="eastAsia" w:ascii="仿宋_GB2312" w:hAnsi="仿宋_GB2312" w:eastAsia="仿宋_GB2312" w:cs="仿宋_GB2312"/>
              <w:color w:val="auto"/>
              <w:lang w:eastAsia="zh-CN"/>
            </w:rPr>
            <w:tab/>
          </w:r>
          <w:r>
            <w:rPr>
              <w:rFonts w:hint="eastAsia" w:ascii="仿宋_GB2312" w:hAnsi="仿宋_GB2312" w:eastAsia="仿宋_GB2312" w:cs="仿宋_GB2312"/>
              <w:color w:val="auto"/>
              <w:spacing w:val="-9"/>
              <w:lang w:eastAsia="zh-CN"/>
            </w:rPr>
            <w:t>-</w:t>
          </w:r>
          <w:r>
            <w:fldChar w:fldCharType="begin"/>
          </w:r>
          <w:r>
            <w:instrText xml:space="preserve"> HYPERLINK \l "bookmark14" </w:instrText>
          </w:r>
          <w:r>
            <w:fldChar w:fldCharType="separate"/>
          </w:r>
          <w:r>
            <w:rPr>
              <w:rFonts w:hint="eastAsia" w:ascii="仿宋_GB2312" w:hAnsi="仿宋_GB2312" w:eastAsia="仿宋_GB2312" w:cs="仿宋_GB2312"/>
              <w:color w:val="auto"/>
              <w:spacing w:val="-9"/>
              <w:lang w:eastAsia="zh-CN"/>
            </w:rPr>
            <w:t>1</w:t>
          </w:r>
          <w:r>
            <w:rPr>
              <w:rFonts w:hint="eastAsia" w:ascii="仿宋_GB2312" w:hAnsi="仿宋_GB2312" w:eastAsia="仿宋_GB2312" w:cs="仿宋_GB2312"/>
              <w:color w:val="auto"/>
              <w:spacing w:val="-9"/>
              <w:lang w:eastAsia="zh-CN"/>
            </w:rPr>
            <w:fldChar w:fldCharType="end"/>
          </w:r>
          <w:r>
            <w:rPr>
              <w:rFonts w:hint="eastAsia" w:ascii="仿宋_GB2312" w:hAnsi="仿宋_GB2312" w:eastAsia="仿宋_GB2312" w:cs="仿宋_GB2312"/>
              <w:color w:val="auto"/>
              <w:spacing w:val="-9"/>
              <w:lang w:eastAsia="zh-CN"/>
            </w:rPr>
            <w:t>66-</w:t>
          </w:r>
        </w:p>
      </w:sdtContent>
    </w:sdt>
    <w:p>
      <w:pPr>
        <w:spacing w:line="222" w:lineRule="auto"/>
        <w:rPr>
          <w:rFonts w:ascii="仿宋_GB2312" w:hAnsi="仿宋_GB2312" w:eastAsia="仿宋_GB2312" w:cs="仿宋_GB2312"/>
          <w:color w:val="auto"/>
          <w:lang w:eastAsia="zh-CN"/>
        </w:rPr>
      </w:pPr>
    </w:p>
    <w:p>
      <w:pPr>
        <w:rPr>
          <w:lang w:eastAsia="zh-CN"/>
        </w:rPr>
      </w:pPr>
    </w:p>
    <w:p>
      <w:pPr>
        <w:rPr>
          <w:lang w:eastAsia="zh-CN"/>
        </w:rPr>
      </w:pPr>
    </w:p>
    <w:p>
      <w:pPr>
        <w:rPr>
          <w:lang w:eastAsia="zh-CN"/>
        </w:rPr>
      </w:pPr>
    </w:p>
    <w:p>
      <w:pPr>
        <w:rPr>
          <w:lang w:eastAsia="zh-CN"/>
        </w:rPr>
      </w:pPr>
    </w:p>
    <w:p>
      <w:pPr>
        <w:tabs>
          <w:tab w:val="left" w:pos="5808"/>
        </w:tabs>
        <w:rPr>
          <w:rFonts w:eastAsia="宋体"/>
          <w:lang w:eastAsia="zh-CN"/>
        </w:rPr>
        <w:sectPr>
          <w:footerReference r:id="rId5" w:type="default"/>
          <w:pgSz w:w="11906" w:h="16839"/>
          <w:pgMar w:top="1431" w:right="1532" w:bottom="400" w:left="1785" w:header="0" w:footer="0" w:gutter="0"/>
          <w:pgNumType w:fmt="numberInDash" w:start="1"/>
          <w:cols w:space="720" w:num="1"/>
        </w:sectPr>
      </w:pPr>
      <w:r>
        <w:rPr>
          <w:rFonts w:hint="eastAsia" w:eastAsia="宋体"/>
          <w:lang w:eastAsia="zh-CN"/>
        </w:rPr>
        <w:tab/>
      </w:r>
    </w:p>
    <w:p>
      <w:pPr>
        <w:spacing w:line="478" w:lineRule="auto"/>
        <w:rPr>
          <w:color w:val="auto"/>
          <w:lang w:eastAsia="zh-CN"/>
        </w:rPr>
      </w:pPr>
    </w:p>
    <w:p>
      <w:pPr>
        <w:spacing w:before="139" w:line="222" w:lineRule="auto"/>
        <w:ind w:left="2443"/>
        <w:rPr>
          <w:rFonts w:ascii="宋体" w:hAnsi="宋体" w:eastAsia="宋体" w:cs="宋体"/>
          <w:color w:val="auto"/>
          <w:sz w:val="43"/>
          <w:szCs w:val="43"/>
          <w:lang w:eastAsia="zh-CN"/>
        </w:rPr>
      </w:pPr>
      <w:r>
        <w:rPr>
          <w:rFonts w:ascii="宋体" w:hAnsi="宋体" w:eastAsia="宋体" w:cs="宋体"/>
          <w:color w:val="auto"/>
          <w:spacing w:val="8"/>
          <w:sz w:val="43"/>
          <w:szCs w:val="43"/>
          <w:lang w:eastAsia="zh-CN"/>
        </w:rPr>
        <w:t>第一部分前置条件</w:t>
      </w:r>
    </w:p>
    <w:p>
      <w:pPr>
        <w:spacing w:line="390" w:lineRule="auto"/>
        <w:rPr>
          <w:color w:val="auto"/>
          <w:lang w:eastAsia="zh-CN"/>
        </w:rPr>
      </w:pPr>
    </w:p>
    <w:p>
      <w:pPr>
        <w:pStyle w:val="2"/>
        <w:spacing w:before="101" w:line="410" w:lineRule="exact"/>
        <w:ind w:left="22"/>
        <w:rPr>
          <w:color w:val="auto"/>
          <w:lang w:eastAsia="zh-CN"/>
        </w:rPr>
      </w:pPr>
      <w:r>
        <w:rPr>
          <w:rFonts w:ascii="Wingdings" w:hAnsi="Wingdings" w:eastAsia="Wingdings" w:cs="Wingdings"/>
          <w:color w:val="auto"/>
          <w:spacing w:val="-21"/>
          <w:position w:val="1"/>
          <w:lang w:eastAsia="zh-CN"/>
        </w:rPr>
        <w:t></w:t>
      </w:r>
      <w:r>
        <w:rPr>
          <w:color w:val="auto"/>
          <w:spacing w:val="-21"/>
          <w:position w:val="1"/>
          <w:lang w:eastAsia="zh-CN"/>
        </w:rPr>
        <w:t>依法设置与执业</w:t>
      </w:r>
    </w:p>
    <w:p>
      <w:pPr>
        <w:pStyle w:val="2"/>
        <w:spacing w:before="147" w:line="242" w:lineRule="auto"/>
        <w:ind w:left="22"/>
        <w:rPr>
          <w:color w:val="auto"/>
          <w:lang w:eastAsia="zh-CN"/>
        </w:rPr>
      </w:pPr>
      <w:r>
        <w:rPr>
          <w:rFonts w:ascii="Wingdings" w:hAnsi="Wingdings" w:eastAsia="Wingdings" w:cs="Wingdings"/>
          <w:color w:val="auto"/>
          <w:spacing w:val="-13"/>
          <w:lang w:eastAsia="zh-CN"/>
        </w:rPr>
        <w:t></w:t>
      </w:r>
      <w:r>
        <w:rPr>
          <w:color w:val="auto"/>
          <w:spacing w:val="-13"/>
          <w:lang w:eastAsia="zh-CN"/>
        </w:rPr>
        <w:t>公益性责任和行风诚信</w:t>
      </w:r>
    </w:p>
    <w:p>
      <w:pPr>
        <w:pStyle w:val="2"/>
        <w:spacing w:before="156" w:line="409" w:lineRule="exact"/>
        <w:ind w:left="22"/>
        <w:rPr>
          <w:color w:val="auto"/>
          <w:lang w:eastAsia="zh-CN"/>
        </w:rPr>
      </w:pPr>
      <w:r>
        <w:rPr>
          <w:rFonts w:ascii="Wingdings" w:hAnsi="Wingdings" w:eastAsia="Wingdings" w:cs="Wingdings"/>
          <w:color w:val="auto"/>
          <w:spacing w:val="-16"/>
          <w:position w:val="1"/>
          <w:lang w:eastAsia="zh-CN"/>
        </w:rPr>
        <w:t></w:t>
      </w:r>
      <w:r>
        <w:rPr>
          <w:color w:val="auto"/>
          <w:spacing w:val="-16"/>
          <w:position w:val="1"/>
          <w:lang w:eastAsia="zh-CN"/>
        </w:rPr>
        <w:t>安全管理与重大事件</w:t>
      </w:r>
    </w:p>
    <w:p>
      <w:pPr>
        <w:spacing w:line="310" w:lineRule="auto"/>
        <w:rPr>
          <w:color w:val="auto"/>
          <w:lang w:eastAsia="zh-CN"/>
        </w:rPr>
      </w:pPr>
    </w:p>
    <w:p>
      <w:pPr>
        <w:spacing w:line="310" w:lineRule="auto"/>
        <w:rPr>
          <w:color w:val="auto"/>
          <w:lang w:eastAsia="zh-CN"/>
        </w:rPr>
      </w:pPr>
    </w:p>
    <w:p>
      <w:pPr>
        <w:pStyle w:val="2"/>
        <w:spacing w:before="102" w:line="559" w:lineRule="exact"/>
        <w:ind w:right="19"/>
        <w:jc w:val="right"/>
        <w:rPr>
          <w:color w:val="auto"/>
          <w:lang w:eastAsia="zh-CN"/>
        </w:rPr>
      </w:pPr>
      <w:r>
        <w:rPr>
          <w:color w:val="auto"/>
          <w:spacing w:val="8"/>
          <w:position w:val="18"/>
          <w:lang w:eastAsia="zh-CN"/>
        </w:rPr>
        <w:t>医院在评审周期内发生一项及以上情形的，延期一年评审。</w:t>
      </w:r>
    </w:p>
    <w:p>
      <w:pPr>
        <w:pStyle w:val="2"/>
        <w:spacing w:before="1" w:line="221" w:lineRule="auto"/>
        <w:ind w:left="15"/>
        <w:rPr>
          <w:color w:val="auto"/>
          <w:lang w:eastAsia="zh-CN"/>
        </w:rPr>
      </w:pPr>
      <w:r>
        <w:rPr>
          <w:color w:val="auto"/>
          <w:spacing w:val="8"/>
          <w:lang w:eastAsia="zh-CN"/>
        </w:rPr>
        <w:t>延期期间原等次取消，按照</w:t>
      </w:r>
      <w:r>
        <w:rPr>
          <w:rFonts w:hint="eastAsia"/>
          <w:color w:val="auto"/>
          <w:spacing w:val="8"/>
          <w:lang w:eastAsia="zh-CN"/>
        </w:rPr>
        <w:t>“</w:t>
      </w:r>
      <w:r>
        <w:rPr>
          <w:color w:val="auto"/>
          <w:spacing w:val="8"/>
          <w:lang w:eastAsia="zh-CN"/>
        </w:rPr>
        <w:t>未定等</w:t>
      </w:r>
      <w:r>
        <w:rPr>
          <w:rFonts w:hint="eastAsia"/>
          <w:color w:val="auto"/>
          <w:spacing w:val="8"/>
          <w:lang w:eastAsia="zh-CN"/>
        </w:rPr>
        <w:t>”</w:t>
      </w:r>
      <w:r>
        <w:rPr>
          <w:color w:val="auto"/>
          <w:spacing w:val="8"/>
          <w:lang w:eastAsia="zh-CN"/>
        </w:rPr>
        <w:t>管理。</w:t>
      </w:r>
    </w:p>
    <w:p>
      <w:pPr>
        <w:spacing w:before="185" w:line="225" w:lineRule="auto"/>
        <w:ind w:left="653"/>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一、依法设置与执业</w:t>
      </w:r>
    </w:p>
    <w:p>
      <w:pPr>
        <w:pStyle w:val="2"/>
        <w:spacing w:before="186" w:line="559" w:lineRule="exact"/>
        <w:ind w:left="640"/>
        <w:rPr>
          <w:color w:val="auto"/>
          <w:lang w:eastAsia="zh-CN"/>
        </w:rPr>
      </w:pPr>
      <w:r>
        <w:rPr>
          <w:color w:val="auto"/>
          <w:spacing w:val="-9"/>
          <w:position w:val="18"/>
          <w:lang w:eastAsia="zh-CN"/>
        </w:rPr>
        <w:t>（一）医院规模和基本设置未达到《医疗机构管</w:t>
      </w:r>
      <w:r>
        <w:rPr>
          <w:color w:val="auto"/>
          <w:spacing w:val="-10"/>
          <w:position w:val="18"/>
          <w:lang w:eastAsia="zh-CN"/>
        </w:rPr>
        <w:t>理条例》《医</w:t>
      </w:r>
    </w:p>
    <w:p>
      <w:pPr>
        <w:pStyle w:val="2"/>
        <w:spacing w:line="221" w:lineRule="auto"/>
        <w:ind w:left="7"/>
        <w:rPr>
          <w:color w:val="auto"/>
          <w:lang w:eastAsia="zh-CN"/>
        </w:rPr>
      </w:pPr>
      <w:r>
        <w:rPr>
          <w:color w:val="auto"/>
          <w:spacing w:val="8"/>
          <w:lang w:eastAsia="zh-CN"/>
        </w:rPr>
        <w:t>疗机构基本标准（试行）》所要求的医院标准。</w:t>
      </w:r>
    </w:p>
    <w:p>
      <w:pPr>
        <w:pStyle w:val="2"/>
        <w:spacing w:before="188" w:line="562" w:lineRule="exact"/>
        <w:ind w:left="640"/>
        <w:rPr>
          <w:color w:val="auto"/>
          <w:lang w:eastAsia="zh-CN"/>
        </w:rPr>
      </w:pPr>
      <w:r>
        <w:rPr>
          <w:color w:val="auto"/>
          <w:spacing w:val="2"/>
          <w:position w:val="18"/>
          <w:lang w:eastAsia="zh-CN"/>
        </w:rPr>
        <w:t>（二）未按照《医疗机构依法执业自查管理办法》建立依法</w:t>
      </w:r>
    </w:p>
    <w:p>
      <w:pPr>
        <w:pStyle w:val="2"/>
        <w:spacing w:line="220" w:lineRule="auto"/>
        <w:ind w:left="15"/>
        <w:rPr>
          <w:color w:val="auto"/>
          <w:lang w:eastAsia="zh-CN"/>
        </w:rPr>
      </w:pPr>
      <w:r>
        <w:rPr>
          <w:color w:val="auto"/>
          <w:spacing w:val="8"/>
          <w:lang w:eastAsia="zh-CN"/>
        </w:rPr>
        <w:t>执业自查管理组织并落实依法执业自查工作。</w:t>
      </w:r>
    </w:p>
    <w:p>
      <w:pPr>
        <w:pStyle w:val="2"/>
        <w:spacing w:before="194" w:line="333" w:lineRule="auto"/>
        <w:ind w:right="43" w:firstLine="640"/>
        <w:rPr>
          <w:color w:val="auto"/>
          <w:lang w:eastAsia="zh-CN"/>
        </w:rPr>
      </w:pPr>
      <w:r>
        <w:rPr>
          <w:color w:val="auto"/>
          <w:spacing w:val="9"/>
          <w:lang w:eastAsia="zh-CN"/>
        </w:rPr>
        <w:t>（三）违反《中华人民共和国基本医疗卫生与健康促进法》</w:t>
      </w:r>
      <w:r>
        <w:rPr>
          <w:color w:val="auto"/>
          <w:spacing w:val="5"/>
          <w:lang w:eastAsia="zh-CN"/>
        </w:rPr>
        <w:t>《医疗机构管理条例》，伪造、变造、买卖、出租、出借《医疗</w:t>
      </w:r>
      <w:r>
        <w:rPr>
          <w:color w:val="auto"/>
          <w:spacing w:val="-1"/>
          <w:lang w:eastAsia="zh-CN"/>
        </w:rPr>
        <w:t>机构执业许可证》；医院命名不符合《医疗机构管理条例实施细</w:t>
      </w:r>
      <w:r>
        <w:rPr>
          <w:color w:val="auto"/>
          <w:spacing w:val="5"/>
          <w:lang w:eastAsia="zh-CN"/>
        </w:rPr>
        <w:t>则》等有关规定，未按时校验、拒不校验或有暂缓校验记录，擅自变更诊疗科目或有诊疗活动超出诊疗科目登记范围；政府举办</w:t>
      </w:r>
      <w:r>
        <w:rPr>
          <w:color w:val="auto"/>
          <w:spacing w:val="17"/>
          <w:lang w:eastAsia="zh-CN"/>
        </w:rPr>
        <w:t>的医疗卫生机构与其他组织投资设立非独立法人资格的医疗卫</w:t>
      </w:r>
      <w:r>
        <w:rPr>
          <w:color w:val="auto"/>
          <w:spacing w:val="5"/>
          <w:lang w:eastAsia="zh-CN"/>
        </w:rPr>
        <w:t>生机构；医疗卫生机构对外出租、承包医疗科室；非营利性医疗</w:t>
      </w:r>
    </w:p>
    <w:p>
      <w:pPr>
        <w:pStyle w:val="2"/>
        <w:spacing w:before="2" w:line="221" w:lineRule="auto"/>
        <w:ind w:left="16"/>
        <w:rPr>
          <w:color w:val="auto"/>
          <w:lang w:eastAsia="zh-CN"/>
        </w:rPr>
      </w:pPr>
      <w:r>
        <w:rPr>
          <w:color w:val="auto"/>
          <w:spacing w:val="8"/>
          <w:lang w:eastAsia="zh-CN"/>
        </w:rPr>
        <w:t>卫生机构向出资人、举办者分配或变相分配收益。</w:t>
      </w:r>
    </w:p>
    <w:p>
      <w:pPr>
        <w:pStyle w:val="2"/>
        <w:jc w:val="right"/>
        <w:rPr>
          <w:color w:val="auto"/>
          <w:lang w:eastAsia="zh-CN"/>
        </w:rPr>
      </w:pPr>
      <w:r>
        <w:rPr>
          <w:color w:val="auto"/>
          <w:spacing w:val="-1"/>
          <w:position w:val="18"/>
          <w:lang w:eastAsia="zh-CN"/>
        </w:rPr>
        <w:t>（四）违反《中华人民共和国医师法》《医疗机构管理条例》</w:t>
      </w:r>
    </w:p>
    <w:p>
      <w:pPr>
        <w:pStyle w:val="2"/>
        <w:spacing w:before="1" w:line="220" w:lineRule="auto"/>
        <w:rPr>
          <w:color w:val="auto"/>
          <w:lang w:eastAsia="zh-CN"/>
        </w:rPr>
      </w:pPr>
      <w:r>
        <w:rPr>
          <w:color w:val="auto"/>
          <w:spacing w:val="9"/>
          <w:lang w:eastAsia="zh-CN"/>
        </w:rPr>
        <w:t>《护士条例》，使用非卫生技术人员从事医疗卫生技术工作。</w:t>
      </w:r>
    </w:p>
    <w:p>
      <w:pPr>
        <w:spacing w:line="220" w:lineRule="auto"/>
        <w:rPr>
          <w:color w:val="auto"/>
          <w:lang w:eastAsia="zh-CN"/>
        </w:rPr>
        <w:sectPr>
          <w:footerReference r:id="rId6" w:type="default"/>
          <w:pgSz w:w="11906" w:h="16839"/>
          <w:pgMar w:top="1431" w:right="1377" w:bottom="1494" w:left="1535" w:header="0" w:footer="1332" w:gutter="0"/>
          <w:pgNumType w:fmt="numberInDash" w:start="1"/>
          <w:cols w:space="720" w:num="1"/>
        </w:sectPr>
      </w:pPr>
    </w:p>
    <w:p>
      <w:pPr>
        <w:pStyle w:val="2"/>
        <w:spacing w:before="279" w:line="333" w:lineRule="auto"/>
        <w:ind w:left="7" w:right="92" w:firstLine="632"/>
        <w:rPr>
          <w:color w:val="auto"/>
          <w:lang w:eastAsia="zh-CN"/>
        </w:rPr>
      </w:pPr>
      <w:r>
        <w:rPr>
          <w:color w:val="auto"/>
          <w:spacing w:val="5"/>
          <w:lang w:eastAsia="zh-CN"/>
        </w:rPr>
        <w:t>（五）违反《中华人民共和国药品管理法》《医疗器械监督管理条例》，违法违规采购或使用药品、设备、器械、耗材开展诊疗活动，造成严重后果；未经许可配置使用需要准入审批的大</w:t>
      </w:r>
    </w:p>
    <w:p>
      <w:pPr>
        <w:pStyle w:val="2"/>
        <w:spacing w:before="1" w:line="223" w:lineRule="auto"/>
        <w:ind w:left="21"/>
        <w:rPr>
          <w:color w:val="auto"/>
          <w:lang w:eastAsia="zh-CN"/>
        </w:rPr>
      </w:pPr>
      <w:r>
        <w:rPr>
          <w:color w:val="auto"/>
          <w:spacing w:val="3"/>
          <w:lang w:eastAsia="zh-CN"/>
        </w:rPr>
        <w:t>型医用设备。</w:t>
      </w:r>
    </w:p>
    <w:p>
      <w:pPr>
        <w:pStyle w:val="2"/>
        <w:spacing w:before="183" w:line="559" w:lineRule="exact"/>
        <w:ind w:left="640"/>
        <w:rPr>
          <w:color w:val="auto"/>
          <w:lang w:eastAsia="zh-CN"/>
        </w:rPr>
      </w:pPr>
      <w:r>
        <w:rPr>
          <w:color w:val="auto"/>
          <w:spacing w:val="5"/>
          <w:position w:val="18"/>
          <w:lang w:eastAsia="zh-CN"/>
        </w:rPr>
        <w:t>（六）违反《中华人民共和国母婴保健法》，未取得母婴保</w:t>
      </w:r>
    </w:p>
    <w:p>
      <w:pPr>
        <w:pStyle w:val="2"/>
        <w:spacing w:line="221" w:lineRule="auto"/>
        <w:ind w:left="2"/>
        <w:rPr>
          <w:color w:val="auto"/>
          <w:lang w:eastAsia="zh-CN"/>
        </w:rPr>
      </w:pPr>
      <w:r>
        <w:rPr>
          <w:color w:val="auto"/>
          <w:spacing w:val="9"/>
          <w:lang w:eastAsia="zh-CN"/>
        </w:rPr>
        <w:t>健技术服务执业许可证开展相关母婴保健技术。</w:t>
      </w:r>
    </w:p>
    <w:p>
      <w:pPr>
        <w:pStyle w:val="2"/>
        <w:spacing w:before="190" w:line="333" w:lineRule="auto"/>
        <w:ind w:left="25" w:right="95" w:firstLine="615"/>
        <w:rPr>
          <w:color w:val="auto"/>
          <w:lang w:eastAsia="zh-CN"/>
        </w:rPr>
      </w:pPr>
      <w:r>
        <w:rPr>
          <w:color w:val="auto"/>
          <w:spacing w:val="5"/>
          <w:lang w:eastAsia="zh-CN"/>
        </w:rPr>
        <w:t>（七）违反《人体器官移植条例》，买卖人体器官或者从事与买卖人体器官有关的活动，未经许可开展人</w:t>
      </w:r>
      <w:r>
        <w:rPr>
          <w:color w:val="auto"/>
          <w:spacing w:val="4"/>
          <w:lang w:eastAsia="zh-CN"/>
        </w:rPr>
        <w:t>体器官获取与移植</w:t>
      </w:r>
    </w:p>
    <w:p>
      <w:pPr>
        <w:pStyle w:val="2"/>
        <w:spacing w:line="222" w:lineRule="auto"/>
        <w:ind w:left="11"/>
        <w:rPr>
          <w:color w:val="auto"/>
          <w:lang w:eastAsia="zh-CN"/>
        </w:rPr>
      </w:pPr>
      <w:r>
        <w:rPr>
          <w:color w:val="auto"/>
          <w:lang w:eastAsia="zh-CN"/>
        </w:rPr>
        <w:t>技术。</w:t>
      </w:r>
    </w:p>
    <w:p>
      <w:pPr>
        <w:pStyle w:val="2"/>
        <w:spacing w:before="188" w:line="560" w:lineRule="exact"/>
        <w:ind w:right="71"/>
        <w:jc w:val="right"/>
        <w:rPr>
          <w:color w:val="auto"/>
          <w:lang w:eastAsia="zh-CN"/>
        </w:rPr>
      </w:pPr>
      <w:r>
        <w:rPr>
          <w:color w:val="auto"/>
          <w:spacing w:val="6"/>
          <w:position w:val="18"/>
          <w:lang w:eastAsia="zh-CN"/>
        </w:rPr>
        <w:t>（八）违反《中华人民共和国献血法》，非法采集血液、非</w:t>
      </w:r>
    </w:p>
    <w:p>
      <w:pPr>
        <w:pStyle w:val="2"/>
        <w:spacing w:line="221" w:lineRule="auto"/>
        <w:ind w:left="19"/>
        <w:rPr>
          <w:color w:val="auto"/>
          <w:lang w:eastAsia="zh-CN"/>
        </w:rPr>
      </w:pPr>
      <w:r>
        <w:rPr>
          <w:color w:val="auto"/>
          <w:spacing w:val="4"/>
          <w:lang w:eastAsia="zh-CN"/>
        </w:rPr>
        <w:t>法组织他人出卖血液、出售无偿献血的血液。</w:t>
      </w:r>
    </w:p>
    <w:p>
      <w:pPr>
        <w:pStyle w:val="2"/>
        <w:spacing w:before="184" w:line="334" w:lineRule="auto"/>
        <w:ind w:left="11" w:firstLine="629"/>
        <w:rPr>
          <w:color w:val="auto"/>
          <w:lang w:eastAsia="zh-CN"/>
        </w:rPr>
      </w:pPr>
      <w:r>
        <w:rPr>
          <w:color w:val="auto"/>
          <w:spacing w:val="5"/>
          <w:lang w:eastAsia="zh-CN"/>
        </w:rPr>
        <w:t>（九）违反《中华人民共和国传染病防治法》《中华人民共和国生物安全法》《病原微生物实验室生物安全管理条例》，造</w:t>
      </w:r>
      <w:r>
        <w:rPr>
          <w:color w:val="auto"/>
          <w:spacing w:val="-3"/>
          <w:lang w:eastAsia="zh-CN"/>
        </w:rPr>
        <w:t>成传染病传播、流行或其他严重后果；或其他重大医疗违规事件、</w:t>
      </w:r>
      <w:r>
        <w:rPr>
          <w:color w:val="auto"/>
          <w:spacing w:val="5"/>
          <w:lang w:eastAsia="zh-CN"/>
        </w:rPr>
        <w:t>造成严重后果或情节严重；卫生健康行政部门或监督执法机构近</w:t>
      </w:r>
      <w:r>
        <w:rPr>
          <w:color w:val="auto"/>
          <w:spacing w:val="17"/>
          <w:lang w:eastAsia="zh-CN"/>
        </w:rPr>
        <w:t>两年来对其进行传染病防治分类监督综合评价为重点监</w:t>
      </w:r>
      <w:r>
        <w:rPr>
          <w:color w:val="auto"/>
          <w:spacing w:val="16"/>
          <w:lang w:eastAsia="zh-CN"/>
        </w:rPr>
        <w:t>督单位</w:t>
      </w:r>
    </w:p>
    <w:p>
      <w:pPr>
        <w:pStyle w:val="2"/>
        <w:spacing w:before="2" w:line="221" w:lineRule="auto"/>
        <w:rPr>
          <w:color w:val="auto"/>
          <w:lang w:eastAsia="zh-CN"/>
        </w:rPr>
      </w:pPr>
      <w:r>
        <w:rPr>
          <w:color w:val="auto"/>
          <w:spacing w:val="8"/>
          <w:lang w:eastAsia="zh-CN"/>
        </w:rPr>
        <w:t>（以两年来最近一次评价结果为准）。</w:t>
      </w:r>
    </w:p>
    <w:p>
      <w:pPr>
        <w:pStyle w:val="2"/>
        <w:spacing w:before="186" w:line="562" w:lineRule="exact"/>
        <w:ind w:left="640"/>
        <w:rPr>
          <w:color w:val="auto"/>
          <w:lang w:eastAsia="zh-CN"/>
        </w:rPr>
      </w:pPr>
      <w:r>
        <w:rPr>
          <w:color w:val="auto"/>
          <w:spacing w:val="5"/>
          <w:position w:val="18"/>
          <w:lang w:eastAsia="zh-CN"/>
        </w:rPr>
        <w:t>（十）违反《医疗纠纷预防和处理条例》《医疗事故处理条</w:t>
      </w:r>
    </w:p>
    <w:p>
      <w:pPr>
        <w:pStyle w:val="2"/>
        <w:spacing w:before="1" w:line="220" w:lineRule="auto"/>
        <w:ind w:left="2"/>
        <w:rPr>
          <w:color w:val="auto"/>
          <w:lang w:eastAsia="zh-CN"/>
        </w:rPr>
      </w:pPr>
      <w:r>
        <w:rPr>
          <w:color w:val="auto"/>
          <w:spacing w:val="9"/>
          <w:lang w:eastAsia="zh-CN"/>
        </w:rPr>
        <w:t>例》，篡改、伪造、隐匿、毁灭病历资料，造成严重后果。</w:t>
      </w:r>
    </w:p>
    <w:p>
      <w:pPr>
        <w:pStyle w:val="2"/>
        <w:spacing w:before="188" w:line="334" w:lineRule="auto"/>
        <w:ind w:left="10" w:right="56" w:firstLine="630"/>
        <w:rPr>
          <w:color w:val="auto"/>
          <w:lang w:eastAsia="zh-CN"/>
        </w:rPr>
      </w:pPr>
      <w:r>
        <w:rPr>
          <w:color w:val="auto"/>
          <w:spacing w:val="5"/>
          <w:lang w:eastAsia="zh-CN"/>
        </w:rPr>
        <w:t>（十一）违反《医疗技术临床应用管理办法》，将未通过技</w:t>
      </w:r>
      <w:r>
        <w:rPr>
          <w:color w:val="auto"/>
          <w:spacing w:val="6"/>
          <w:lang w:eastAsia="zh-CN"/>
        </w:rPr>
        <w:t>术评估与伦理审查的医疗新技术、禁止类医疗技术应用于临床，</w:t>
      </w:r>
    </w:p>
    <w:p>
      <w:pPr>
        <w:pStyle w:val="2"/>
        <w:rPr>
          <w:color w:val="auto"/>
          <w:lang w:eastAsia="zh-CN"/>
        </w:rPr>
      </w:pPr>
      <w:r>
        <w:rPr>
          <w:color w:val="auto"/>
          <w:spacing w:val="6"/>
          <w:lang w:eastAsia="zh-CN"/>
        </w:rPr>
        <w:t>造成严重后果。</w:t>
      </w:r>
    </w:p>
    <w:p>
      <w:pPr>
        <w:pStyle w:val="2"/>
        <w:ind w:firstLine="640" w:firstLineChars="200"/>
        <w:rPr>
          <w:color w:val="auto"/>
          <w:lang w:eastAsia="zh-CN"/>
        </w:rPr>
      </w:pPr>
      <w:r>
        <w:rPr>
          <w:color w:val="auto"/>
          <w:spacing w:val="5"/>
          <w:lang w:eastAsia="zh-CN"/>
        </w:rPr>
        <w:t>（十二）违反《医疗机构药事管理规定》《麻醉药品和精神</w:t>
      </w:r>
    </w:p>
    <w:p>
      <w:pPr>
        <w:spacing w:line="222" w:lineRule="auto"/>
        <w:rPr>
          <w:color w:val="auto"/>
          <w:lang w:eastAsia="zh-CN"/>
        </w:rPr>
        <w:sectPr>
          <w:footerReference r:id="rId7" w:type="default"/>
          <w:pgSz w:w="11906" w:h="16839"/>
          <w:pgMar w:top="1431" w:right="1435" w:bottom="1494" w:left="1535" w:header="0" w:footer="1332" w:gutter="0"/>
          <w:pgNumType w:fmt="numberInDash"/>
          <w:cols w:space="720" w:num="1"/>
        </w:sectPr>
      </w:pPr>
    </w:p>
    <w:p>
      <w:pPr>
        <w:pStyle w:val="2"/>
        <w:spacing w:before="279" w:line="333" w:lineRule="auto"/>
        <w:ind w:left="3" w:firstLine="13"/>
        <w:jc w:val="both"/>
        <w:rPr>
          <w:color w:val="auto"/>
          <w:lang w:eastAsia="zh-CN"/>
        </w:rPr>
      </w:pPr>
      <w:r>
        <w:rPr>
          <w:color w:val="auto"/>
          <w:spacing w:val="6"/>
          <w:lang w:eastAsia="zh-CN"/>
        </w:rPr>
        <w:t>药品管理条例》《易制毒化学品管理条例》《处方管理办法》，</w:t>
      </w:r>
      <w:r>
        <w:rPr>
          <w:color w:val="auto"/>
          <w:spacing w:val="5"/>
          <w:lang w:eastAsia="zh-CN"/>
        </w:rPr>
        <w:t>违规购买、储存、调剂、开具、登记、销毁麻醉药品和第一类精神药品，使用未取得处方权的人员或被取消处方权的医师开具处</w:t>
      </w:r>
    </w:p>
    <w:p>
      <w:pPr>
        <w:pStyle w:val="2"/>
        <w:spacing w:line="222" w:lineRule="auto"/>
        <w:ind w:left="5"/>
        <w:rPr>
          <w:color w:val="auto"/>
          <w:lang w:eastAsia="zh-CN"/>
        </w:rPr>
      </w:pPr>
      <w:r>
        <w:rPr>
          <w:color w:val="auto"/>
          <w:spacing w:val="6"/>
          <w:lang w:eastAsia="zh-CN"/>
        </w:rPr>
        <w:t>方，造成严重后果。</w:t>
      </w:r>
    </w:p>
    <w:p>
      <w:pPr>
        <w:pStyle w:val="2"/>
        <w:spacing w:before="185" w:line="559" w:lineRule="exact"/>
        <w:ind w:right="38"/>
        <w:jc w:val="right"/>
        <w:rPr>
          <w:color w:val="auto"/>
          <w:lang w:eastAsia="zh-CN"/>
        </w:rPr>
      </w:pPr>
      <w:r>
        <w:rPr>
          <w:color w:val="auto"/>
          <w:spacing w:val="5"/>
          <w:position w:val="18"/>
          <w:lang w:eastAsia="zh-CN"/>
        </w:rPr>
        <w:t>（十三）违反《放射诊疗管理规定》，未取得放射诊疗许可</w:t>
      </w:r>
    </w:p>
    <w:p>
      <w:pPr>
        <w:pStyle w:val="2"/>
        <w:spacing w:line="220" w:lineRule="auto"/>
        <w:ind w:left="7"/>
        <w:rPr>
          <w:color w:val="auto"/>
          <w:lang w:eastAsia="zh-CN"/>
        </w:rPr>
      </w:pPr>
      <w:r>
        <w:rPr>
          <w:color w:val="auto"/>
          <w:spacing w:val="8"/>
          <w:lang w:eastAsia="zh-CN"/>
        </w:rPr>
        <w:t>从事放射诊疗工作，造成严重后果。</w:t>
      </w:r>
    </w:p>
    <w:p>
      <w:pPr>
        <w:pStyle w:val="2"/>
        <w:spacing w:before="192" w:line="559" w:lineRule="exact"/>
        <w:ind w:right="40"/>
        <w:jc w:val="right"/>
        <w:rPr>
          <w:color w:val="auto"/>
          <w:lang w:eastAsia="zh-CN"/>
        </w:rPr>
      </w:pPr>
      <w:r>
        <w:rPr>
          <w:color w:val="auto"/>
          <w:spacing w:val="5"/>
          <w:position w:val="18"/>
          <w:lang w:eastAsia="zh-CN"/>
        </w:rPr>
        <w:t>（十四）违反《人类辅助生殖技术管理办法》，非法开展人</w:t>
      </w:r>
    </w:p>
    <w:p>
      <w:pPr>
        <w:pStyle w:val="2"/>
        <w:spacing w:line="221" w:lineRule="auto"/>
        <w:ind w:left="16"/>
        <w:rPr>
          <w:color w:val="auto"/>
          <w:lang w:eastAsia="zh-CN"/>
        </w:rPr>
      </w:pPr>
      <w:r>
        <w:rPr>
          <w:color w:val="auto"/>
          <w:spacing w:val="7"/>
          <w:lang w:eastAsia="zh-CN"/>
        </w:rPr>
        <w:t>类辅助生殖技术，造成严重影响。</w:t>
      </w:r>
    </w:p>
    <w:p>
      <w:pPr>
        <w:pStyle w:val="2"/>
        <w:spacing w:before="187" w:line="334" w:lineRule="auto"/>
        <w:ind w:left="1" w:right="38" w:firstLine="631"/>
        <w:rPr>
          <w:color w:val="auto"/>
          <w:lang w:eastAsia="zh-CN"/>
        </w:rPr>
      </w:pPr>
      <w:r>
        <w:rPr>
          <w:color w:val="auto"/>
          <w:spacing w:val="5"/>
          <w:lang w:eastAsia="zh-CN"/>
        </w:rPr>
        <w:t>（十五）违反《中华人民共和国职业病防治法》，未依法开展职业健康检查或职业病诊断、未依法履行职业病与疑似职业病</w:t>
      </w:r>
    </w:p>
    <w:p>
      <w:pPr>
        <w:pStyle w:val="2"/>
        <w:spacing w:before="1" w:line="222" w:lineRule="auto"/>
        <w:ind w:left="9"/>
        <w:rPr>
          <w:color w:val="auto"/>
          <w:lang w:eastAsia="zh-CN"/>
        </w:rPr>
      </w:pPr>
      <w:r>
        <w:rPr>
          <w:color w:val="auto"/>
          <w:spacing w:val="7"/>
          <w:lang w:eastAsia="zh-CN"/>
        </w:rPr>
        <w:t>报告等法定职责，造成严重后果。</w:t>
      </w:r>
    </w:p>
    <w:p>
      <w:pPr>
        <w:pStyle w:val="2"/>
        <w:spacing w:before="186" w:line="561" w:lineRule="exact"/>
        <w:ind w:right="38"/>
        <w:jc w:val="right"/>
        <w:rPr>
          <w:color w:val="auto"/>
          <w:lang w:eastAsia="zh-CN"/>
        </w:rPr>
      </w:pPr>
      <w:r>
        <w:rPr>
          <w:color w:val="auto"/>
          <w:spacing w:val="5"/>
          <w:position w:val="18"/>
          <w:lang w:eastAsia="zh-CN"/>
        </w:rPr>
        <w:t>（十六）违反《中华人民共和国广告法》《医疗广告管理办</w:t>
      </w:r>
    </w:p>
    <w:p>
      <w:pPr>
        <w:pStyle w:val="2"/>
        <w:spacing w:before="1" w:line="220" w:lineRule="auto"/>
        <w:ind w:left="11"/>
        <w:rPr>
          <w:color w:val="auto"/>
          <w:lang w:eastAsia="zh-CN"/>
        </w:rPr>
      </w:pPr>
      <w:r>
        <w:rPr>
          <w:color w:val="auto"/>
          <w:spacing w:val="7"/>
          <w:lang w:eastAsia="zh-CN"/>
        </w:rPr>
        <w:t>法》，违规发布医疗广告，情节严重。</w:t>
      </w:r>
    </w:p>
    <w:p>
      <w:pPr>
        <w:pStyle w:val="2"/>
        <w:spacing w:before="185" w:line="563" w:lineRule="exact"/>
        <w:ind w:right="38"/>
        <w:jc w:val="right"/>
        <w:rPr>
          <w:color w:val="auto"/>
          <w:lang w:eastAsia="zh-CN"/>
        </w:rPr>
      </w:pPr>
      <w:r>
        <w:rPr>
          <w:color w:val="auto"/>
          <w:spacing w:val="5"/>
          <w:position w:val="18"/>
          <w:lang w:eastAsia="zh-CN"/>
        </w:rPr>
        <w:t>（十七）年度内医疗机构（不含个人）被行政处罚（不含警</w:t>
      </w:r>
    </w:p>
    <w:p>
      <w:pPr>
        <w:pStyle w:val="2"/>
        <w:spacing w:before="1" w:line="223" w:lineRule="auto"/>
        <w:ind w:left="9"/>
        <w:rPr>
          <w:color w:val="auto"/>
          <w:lang w:eastAsia="zh-CN"/>
        </w:rPr>
      </w:pPr>
      <w:r>
        <w:rPr>
          <w:color w:val="auto"/>
          <w:lang w:eastAsia="zh-CN"/>
        </w:rPr>
        <w:t>告，罚款</w:t>
      </w:r>
      <w:r>
        <w:rPr>
          <w:rFonts w:ascii="Times New Roman" w:hAnsi="Times New Roman" w:eastAsia="Times New Roman" w:cs="Times New Roman"/>
          <w:color w:val="auto"/>
          <w:lang w:eastAsia="zh-CN"/>
        </w:rPr>
        <w:t>10000</w:t>
      </w:r>
      <w:r>
        <w:rPr>
          <w:color w:val="auto"/>
          <w:lang w:eastAsia="zh-CN"/>
        </w:rPr>
        <w:t>元以上）</w:t>
      </w:r>
      <w:r>
        <w:rPr>
          <w:rFonts w:ascii="Times New Roman" w:hAnsi="Times New Roman" w:eastAsia="Times New Roman" w:cs="Times New Roman"/>
          <w:color w:val="auto"/>
          <w:lang w:eastAsia="zh-CN"/>
        </w:rPr>
        <w:t>≥3</w:t>
      </w:r>
      <w:r>
        <w:rPr>
          <w:color w:val="auto"/>
          <w:lang w:eastAsia="zh-CN"/>
        </w:rPr>
        <w:t>次。</w:t>
      </w:r>
    </w:p>
    <w:p>
      <w:pPr>
        <w:pStyle w:val="2"/>
        <w:spacing w:before="186" w:line="560" w:lineRule="exact"/>
        <w:ind w:right="38"/>
        <w:jc w:val="right"/>
        <w:rPr>
          <w:color w:val="auto"/>
          <w:lang w:eastAsia="zh-CN"/>
        </w:rPr>
      </w:pPr>
      <w:r>
        <w:rPr>
          <w:color w:val="auto"/>
          <w:spacing w:val="5"/>
          <w:position w:val="18"/>
          <w:lang w:eastAsia="zh-CN"/>
        </w:rPr>
        <w:t>（十八）其他重大违法、违规事件，造成严重后果或情节严</w:t>
      </w:r>
    </w:p>
    <w:p>
      <w:pPr>
        <w:pStyle w:val="2"/>
        <w:spacing w:before="1" w:line="226" w:lineRule="auto"/>
        <w:ind w:left="13"/>
        <w:rPr>
          <w:color w:val="auto"/>
          <w:lang w:eastAsia="zh-CN"/>
        </w:rPr>
      </w:pPr>
      <w:r>
        <w:rPr>
          <w:color w:val="auto"/>
          <w:spacing w:val="-9"/>
          <w:lang w:eastAsia="zh-CN"/>
        </w:rPr>
        <w:t>重。</w:t>
      </w:r>
    </w:p>
    <w:p>
      <w:pPr>
        <w:spacing w:before="178" w:line="226" w:lineRule="auto"/>
        <w:ind w:left="645"/>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二、公益性责任和行风诚信</w:t>
      </w:r>
    </w:p>
    <w:p>
      <w:pPr>
        <w:pStyle w:val="2"/>
        <w:spacing w:before="182" w:line="560" w:lineRule="exact"/>
        <w:ind w:right="19"/>
        <w:jc w:val="right"/>
        <w:rPr>
          <w:color w:val="auto"/>
          <w:lang w:eastAsia="zh-CN"/>
        </w:rPr>
      </w:pPr>
      <w:r>
        <w:rPr>
          <w:color w:val="auto"/>
          <w:spacing w:val="6"/>
          <w:position w:val="18"/>
          <w:lang w:eastAsia="zh-CN"/>
        </w:rPr>
        <w:t>（十九）应当完成而未完成对口支援、中国援外医疗队、突</w:t>
      </w:r>
    </w:p>
    <w:p>
      <w:pPr>
        <w:pStyle w:val="2"/>
        <w:spacing w:line="220" w:lineRule="auto"/>
        <w:rPr>
          <w:color w:val="auto"/>
          <w:lang w:eastAsia="zh-CN"/>
        </w:rPr>
      </w:pPr>
      <w:r>
        <w:rPr>
          <w:color w:val="auto"/>
          <w:spacing w:val="9"/>
          <w:lang w:eastAsia="zh-CN"/>
        </w:rPr>
        <w:t>发公共事件医疗救援、公共卫生任务等政府指令性工作。</w:t>
      </w:r>
    </w:p>
    <w:p>
      <w:pPr>
        <w:pStyle w:val="2"/>
        <w:spacing w:before="189" w:line="562" w:lineRule="exact"/>
        <w:ind w:right="38"/>
        <w:jc w:val="right"/>
        <w:rPr>
          <w:color w:val="auto"/>
          <w:lang w:eastAsia="zh-CN"/>
        </w:rPr>
      </w:pPr>
      <w:r>
        <w:rPr>
          <w:color w:val="auto"/>
          <w:spacing w:val="2"/>
          <w:position w:val="18"/>
          <w:lang w:eastAsia="zh-CN"/>
        </w:rPr>
        <w:t>（二十）应当执行而未执行国家基本药物制度和分级诊疗政</w:t>
      </w:r>
    </w:p>
    <w:p>
      <w:pPr>
        <w:pStyle w:val="2"/>
        <w:spacing w:before="1" w:line="222" w:lineRule="auto"/>
        <w:ind w:left="7"/>
        <w:rPr>
          <w:color w:val="auto"/>
          <w:lang w:eastAsia="zh-CN"/>
        </w:rPr>
      </w:pPr>
      <w:r>
        <w:rPr>
          <w:color w:val="auto"/>
          <w:spacing w:val="-6"/>
          <w:lang w:eastAsia="zh-CN"/>
        </w:rPr>
        <w:t>策。</w:t>
      </w:r>
    </w:p>
    <w:p>
      <w:pPr>
        <w:pStyle w:val="2"/>
        <w:spacing w:before="186" w:line="222" w:lineRule="auto"/>
        <w:ind w:right="38" w:firstLine="628" w:firstLineChars="200"/>
        <w:jc w:val="both"/>
        <w:rPr>
          <w:color w:val="auto"/>
          <w:lang w:eastAsia="zh-CN"/>
        </w:rPr>
      </w:pPr>
      <w:r>
        <w:rPr>
          <w:color w:val="auto"/>
          <w:spacing w:val="2"/>
          <w:lang w:eastAsia="zh-CN"/>
        </w:rPr>
        <w:t>（二十一）医院领导班子发生3起以上严</w:t>
      </w:r>
      <w:r>
        <w:rPr>
          <w:color w:val="auto"/>
          <w:spacing w:val="1"/>
          <w:lang w:eastAsia="zh-CN"/>
        </w:rPr>
        <w:t>重职务犯罪或严重</w:t>
      </w:r>
    </w:p>
    <w:p>
      <w:pPr>
        <w:spacing w:line="222" w:lineRule="auto"/>
        <w:rPr>
          <w:color w:val="auto"/>
          <w:lang w:eastAsia="zh-CN"/>
        </w:rPr>
        <w:sectPr>
          <w:footerReference r:id="rId8" w:type="default"/>
          <w:pgSz w:w="11906" w:h="16839"/>
          <w:pgMar w:top="1431" w:right="1492" w:bottom="1494" w:left="1543" w:header="0" w:footer="1332" w:gutter="0"/>
          <w:pgNumType w:fmt="numberInDash"/>
          <w:cols w:space="720" w:num="1"/>
        </w:sectPr>
      </w:pPr>
    </w:p>
    <w:p>
      <w:pPr>
        <w:pStyle w:val="2"/>
        <w:spacing w:before="277" w:line="333" w:lineRule="auto"/>
        <w:ind w:left="18" w:hanging="9"/>
        <w:jc w:val="both"/>
        <w:rPr>
          <w:color w:val="auto"/>
          <w:lang w:eastAsia="zh-CN"/>
        </w:rPr>
      </w:pPr>
      <w:r>
        <w:rPr>
          <w:color w:val="auto"/>
          <w:spacing w:val="4"/>
          <w:lang w:eastAsia="zh-CN"/>
        </w:rPr>
        <w:t>违纪事件，或医务人员发生3起以上违反《医疗机构工作人员廉</w:t>
      </w:r>
      <w:r>
        <w:rPr>
          <w:color w:val="auto"/>
          <w:spacing w:val="14"/>
          <w:lang w:eastAsia="zh-CN"/>
        </w:rPr>
        <w:t>洁从业九项准则》的群体</w:t>
      </w:r>
      <w:r>
        <w:rPr>
          <w:color w:val="auto"/>
          <w:spacing w:val="4"/>
          <w:lang w:eastAsia="zh-CN"/>
        </w:rPr>
        <w:t>性事件(≥3人/起）</w:t>
      </w:r>
      <w:r>
        <w:rPr>
          <w:color w:val="auto"/>
          <w:spacing w:val="19"/>
          <w:lang w:eastAsia="zh-CN"/>
        </w:rPr>
        <w:t>，</w:t>
      </w:r>
      <w:r>
        <w:rPr>
          <w:color w:val="auto"/>
          <w:spacing w:val="13"/>
          <w:lang w:eastAsia="zh-CN"/>
        </w:rPr>
        <w:t>造成重大社会影</w:t>
      </w:r>
    </w:p>
    <w:p>
      <w:pPr>
        <w:pStyle w:val="2"/>
        <w:spacing w:line="223" w:lineRule="auto"/>
        <w:ind w:left="15"/>
        <w:rPr>
          <w:color w:val="auto"/>
          <w:lang w:eastAsia="zh-CN"/>
        </w:rPr>
      </w:pPr>
      <w:r>
        <w:rPr>
          <w:color w:val="auto"/>
          <w:spacing w:val="-7"/>
          <w:lang w:eastAsia="zh-CN"/>
        </w:rPr>
        <w:t>响。</w:t>
      </w:r>
    </w:p>
    <w:p>
      <w:pPr>
        <w:pStyle w:val="2"/>
        <w:spacing w:before="186" w:line="559" w:lineRule="exact"/>
        <w:jc w:val="right"/>
        <w:rPr>
          <w:color w:val="auto"/>
          <w:lang w:eastAsia="zh-CN"/>
        </w:rPr>
      </w:pPr>
      <w:r>
        <w:rPr>
          <w:color w:val="auto"/>
          <w:spacing w:val="2"/>
          <w:position w:val="18"/>
          <w:lang w:eastAsia="zh-CN"/>
        </w:rPr>
        <w:t>（二十二）发生重大价格或收费违法事件，以及恶意骗取医</w:t>
      </w:r>
    </w:p>
    <w:p>
      <w:pPr>
        <w:pStyle w:val="2"/>
        <w:spacing w:line="221" w:lineRule="auto"/>
        <w:ind w:left="2"/>
        <w:rPr>
          <w:color w:val="auto"/>
          <w:lang w:eastAsia="zh-CN"/>
        </w:rPr>
      </w:pPr>
      <w:r>
        <w:rPr>
          <w:color w:val="auto"/>
          <w:spacing w:val="5"/>
          <w:lang w:eastAsia="zh-CN"/>
        </w:rPr>
        <w:t>保基金。</w:t>
      </w:r>
    </w:p>
    <w:p>
      <w:pPr>
        <w:pStyle w:val="2"/>
        <w:spacing w:before="190" w:line="333" w:lineRule="auto"/>
        <w:ind w:left="2" w:firstLine="636"/>
        <w:rPr>
          <w:color w:val="auto"/>
          <w:lang w:eastAsia="zh-CN"/>
        </w:rPr>
      </w:pPr>
      <w:r>
        <w:rPr>
          <w:color w:val="auto"/>
          <w:spacing w:val="2"/>
          <w:lang w:eastAsia="zh-CN"/>
        </w:rPr>
        <w:t>（二十三）违反《中华人民共和国统计法》《医疗质量管理</w:t>
      </w:r>
      <w:r>
        <w:rPr>
          <w:color w:val="auto"/>
          <w:spacing w:val="5"/>
          <w:lang w:eastAsia="zh-CN"/>
        </w:rPr>
        <w:t>办法》《医学科研诚信和相关行为规范》相关要求，提供、报告虚假住院病案首页等医疗服务信息、统计数据、申报材料，存在</w:t>
      </w:r>
    </w:p>
    <w:p>
      <w:pPr>
        <w:pStyle w:val="2"/>
        <w:spacing w:line="221" w:lineRule="auto"/>
        <w:ind w:left="4"/>
        <w:rPr>
          <w:color w:val="auto"/>
          <w:lang w:eastAsia="zh-CN"/>
        </w:rPr>
      </w:pPr>
      <w:r>
        <w:rPr>
          <w:color w:val="auto"/>
          <w:spacing w:val="8"/>
          <w:lang w:eastAsia="zh-CN"/>
        </w:rPr>
        <w:t>科研失信行为，情节严重。</w:t>
      </w:r>
    </w:p>
    <w:p>
      <w:pPr>
        <w:spacing w:before="190" w:line="228" w:lineRule="auto"/>
        <w:ind w:left="653"/>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三、安全管理与重大事件</w:t>
      </w:r>
    </w:p>
    <w:p>
      <w:pPr>
        <w:pStyle w:val="2"/>
        <w:spacing w:before="176" w:line="560" w:lineRule="exact"/>
        <w:jc w:val="right"/>
        <w:rPr>
          <w:color w:val="auto"/>
          <w:lang w:eastAsia="zh-CN"/>
        </w:rPr>
      </w:pPr>
      <w:r>
        <w:rPr>
          <w:color w:val="auto"/>
          <w:spacing w:val="2"/>
          <w:position w:val="18"/>
          <w:lang w:eastAsia="zh-CN"/>
        </w:rPr>
        <w:t>（二十四）发生定性为完全责任的一级医疗事故或直接被卫</w:t>
      </w:r>
    </w:p>
    <w:p>
      <w:pPr>
        <w:pStyle w:val="2"/>
        <w:spacing w:line="221" w:lineRule="auto"/>
        <w:ind w:left="26"/>
        <w:rPr>
          <w:color w:val="auto"/>
          <w:lang w:eastAsia="zh-CN"/>
        </w:rPr>
      </w:pPr>
      <w:r>
        <w:rPr>
          <w:color w:val="auto"/>
          <w:spacing w:val="7"/>
          <w:lang w:eastAsia="zh-CN"/>
        </w:rPr>
        <w:t>生健康行政部门判定的重大医疗事故。</w:t>
      </w:r>
    </w:p>
    <w:p>
      <w:pPr>
        <w:pStyle w:val="2"/>
        <w:spacing w:before="191" w:line="222" w:lineRule="auto"/>
        <w:ind w:left="638"/>
        <w:rPr>
          <w:color w:val="auto"/>
          <w:lang w:eastAsia="zh-CN"/>
        </w:rPr>
      </w:pPr>
      <w:r>
        <w:rPr>
          <w:color w:val="auto"/>
          <w:spacing w:val="6"/>
          <w:lang w:eastAsia="zh-CN"/>
        </w:rPr>
        <w:t>（二十五）发生重大医院感染事件，造成严重后果。</w:t>
      </w:r>
    </w:p>
    <w:p>
      <w:pPr>
        <w:pStyle w:val="2"/>
        <w:spacing w:before="186" w:line="559" w:lineRule="exact"/>
        <w:jc w:val="right"/>
        <w:rPr>
          <w:color w:val="auto"/>
          <w:lang w:eastAsia="zh-CN"/>
        </w:rPr>
      </w:pPr>
      <w:r>
        <w:rPr>
          <w:color w:val="auto"/>
          <w:spacing w:val="2"/>
          <w:position w:val="18"/>
          <w:lang w:eastAsia="zh-CN"/>
        </w:rPr>
        <w:t>（二十六）发生因重大火灾、放射源泄漏、有害气体泄漏等</w:t>
      </w:r>
    </w:p>
    <w:p>
      <w:pPr>
        <w:pStyle w:val="2"/>
        <w:spacing w:before="1" w:line="222" w:lineRule="auto"/>
        <w:rPr>
          <w:color w:val="auto"/>
          <w:lang w:eastAsia="zh-CN"/>
        </w:rPr>
      </w:pPr>
      <w:r>
        <w:rPr>
          <w:color w:val="auto"/>
          <w:spacing w:val="8"/>
          <w:lang w:eastAsia="zh-CN"/>
        </w:rPr>
        <w:t>被通报或处罚的重大安全事故。</w:t>
      </w:r>
    </w:p>
    <w:p>
      <w:pPr>
        <w:pStyle w:val="2"/>
        <w:spacing w:before="188" w:line="221" w:lineRule="auto"/>
        <w:ind w:left="638"/>
        <w:rPr>
          <w:color w:val="auto"/>
          <w:lang w:eastAsia="zh-CN"/>
        </w:rPr>
      </w:pPr>
      <w:r>
        <w:rPr>
          <w:color w:val="auto"/>
          <w:spacing w:val="6"/>
          <w:lang w:eastAsia="zh-CN"/>
        </w:rPr>
        <w:t>（二十七）发生瞒报、漏报重大医疗过失事件的行为。</w:t>
      </w:r>
    </w:p>
    <w:p>
      <w:pPr>
        <w:pStyle w:val="2"/>
        <w:spacing w:before="188" w:line="559" w:lineRule="exact"/>
        <w:ind w:firstLine="628" w:firstLineChars="200"/>
        <w:jc w:val="both"/>
        <w:rPr>
          <w:color w:val="auto"/>
          <w:lang w:eastAsia="zh-CN"/>
        </w:rPr>
      </w:pPr>
      <w:r>
        <w:rPr>
          <w:color w:val="auto"/>
          <w:spacing w:val="2"/>
          <w:position w:val="18"/>
          <w:lang w:eastAsia="zh-CN"/>
        </w:rPr>
        <w:t>（二十八）发生大规模医疗数据泄露或其他重大网络安全事</w:t>
      </w:r>
    </w:p>
    <w:p>
      <w:pPr>
        <w:pStyle w:val="2"/>
        <w:spacing w:before="1" w:line="222" w:lineRule="auto"/>
        <w:ind w:left="2"/>
        <w:rPr>
          <w:color w:val="auto"/>
          <w:lang w:eastAsia="zh-CN"/>
        </w:rPr>
      </w:pPr>
      <w:r>
        <w:rPr>
          <w:color w:val="auto"/>
          <w:spacing w:val="7"/>
          <w:lang w:eastAsia="zh-CN"/>
        </w:rPr>
        <w:t>件，造成严重后果。</w:t>
      </w:r>
    </w:p>
    <w:p>
      <w:pPr>
        <w:pStyle w:val="2"/>
        <w:spacing w:before="188" w:line="333" w:lineRule="auto"/>
        <w:ind w:left="43" w:firstLine="595"/>
        <w:rPr>
          <w:color w:val="auto"/>
          <w:lang w:eastAsia="zh-CN"/>
        </w:rPr>
      </w:pPr>
      <w:r>
        <w:rPr>
          <w:color w:val="auto"/>
          <w:spacing w:val="2"/>
          <w:lang w:eastAsia="zh-CN"/>
        </w:rPr>
        <w:t>（二十九）未加强医院信息化建设，医疗服务全流程未应用</w:t>
      </w:r>
      <w:r>
        <w:rPr>
          <w:color w:val="auto"/>
          <w:spacing w:val="4"/>
          <w:lang w:eastAsia="zh-CN"/>
        </w:rPr>
        <w:t>电子健康码、未建成互联网医院、未接入省（市）级全民健康平</w:t>
      </w:r>
    </w:p>
    <w:p>
      <w:pPr>
        <w:pStyle w:val="2"/>
        <w:spacing w:line="220" w:lineRule="auto"/>
        <w:ind w:left="43"/>
        <w:rPr>
          <w:color w:val="auto"/>
          <w:lang w:eastAsia="zh-CN"/>
        </w:rPr>
      </w:pPr>
      <w:r>
        <w:rPr>
          <w:color w:val="auto"/>
          <w:spacing w:val="6"/>
          <w:lang w:eastAsia="zh-CN"/>
        </w:rPr>
        <w:t>台并按省平台要求的采集方式上报数据。</w:t>
      </w:r>
    </w:p>
    <w:p>
      <w:pPr>
        <w:pStyle w:val="2"/>
        <w:spacing w:before="192" w:line="559" w:lineRule="exact"/>
        <w:jc w:val="right"/>
        <w:rPr>
          <w:color w:val="auto"/>
          <w:lang w:eastAsia="zh-CN"/>
        </w:rPr>
      </w:pPr>
      <w:r>
        <w:rPr>
          <w:color w:val="auto"/>
          <w:spacing w:val="5"/>
          <w:position w:val="18"/>
          <w:lang w:eastAsia="zh-CN"/>
        </w:rPr>
        <w:t>（三十）未开展电子病历信息化建设评价，未达到电子病历</w:t>
      </w:r>
    </w:p>
    <w:p>
      <w:pPr>
        <w:pStyle w:val="2"/>
        <w:spacing w:before="1" w:line="222" w:lineRule="auto"/>
        <w:ind w:left="6"/>
        <w:rPr>
          <w:color w:val="auto"/>
          <w:lang w:eastAsia="zh-CN"/>
        </w:rPr>
      </w:pPr>
      <w:r>
        <w:rPr>
          <w:color w:val="auto"/>
          <w:spacing w:val="1"/>
          <w:lang w:eastAsia="zh-CN"/>
        </w:rPr>
        <w:t>评级4级以上。</w:t>
      </w:r>
    </w:p>
    <w:p>
      <w:pPr>
        <w:spacing w:line="222" w:lineRule="auto"/>
        <w:rPr>
          <w:color w:val="auto"/>
          <w:lang w:eastAsia="zh-CN"/>
        </w:rPr>
        <w:sectPr>
          <w:footerReference r:id="rId9" w:type="default"/>
          <w:pgSz w:w="11906" w:h="16839"/>
          <w:pgMar w:top="1431" w:right="1531" w:bottom="1494" w:left="1537" w:header="0" w:footer="1332" w:gutter="0"/>
          <w:pgNumType w:fmt="numberInDash"/>
          <w:cols w:space="720" w:num="1"/>
        </w:sectPr>
      </w:pPr>
    </w:p>
    <w:p>
      <w:pPr>
        <w:spacing w:line="292" w:lineRule="auto"/>
        <w:rPr>
          <w:color w:val="auto"/>
          <w:lang w:eastAsia="zh-CN"/>
        </w:rPr>
      </w:pPr>
    </w:p>
    <w:p>
      <w:pPr>
        <w:spacing w:line="292" w:lineRule="auto"/>
        <w:rPr>
          <w:color w:val="auto"/>
          <w:lang w:eastAsia="zh-CN"/>
        </w:rPr>
      </w:pPr>
    </w:p>
    <w:p>
      <w:pPr>
        <w:spacing w:line="292" w:lineRule="auto"/>
        <w:rPr>
          <w:color w:val="auto"/>
          <w:lang w:eastAsia="zh-CN"/>
        </w:rPr>
      </w:pPr>
    </w:p>
    <w:p>
      <w:pPr>
        <w:spacing w:before="140" w:line="604" w:lineRule="exact"/>
        <w:ind w:left="2467"/>
        <w:rPr>
          <w:rFonts w:ascii="宋体" w:hAnsi="宋体" w:eastAsia="宋体" w:cs="宋体"/>
          <w:color w:val="auto"/>
          <w:sz w:val="43"/>
          <w:szCs w:val="43"/>
          <w:lang w:eastAsia="zh-CN"/>
        </w:rPr>
      </w:pPr>
      <w:r>
        <w:rPr>
          <w:rFonts w:ascii="宋体" w:hAnsi="宋体" w:eastAsia="宋体" w:cs="宋体"/>
          <w:color w:val="auto"/>
          <w:spacing w:val="9"/>
          <w:position w:val="3"/>
          <w:sz w:val="43"/>
          <w:szCs w:val="43"/>
          <w:lang w:eastAsia="zh-CN"/>
        </w:rPr>
        <w:t>第二部分医疗服务能力与质量安全监测数据</w:t>
      </w: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numPr>
          <w:ilvl w:val="0"/>
          <w:numId w:val="5"/>
        </w:numPr>
        <w:spacing w:line="480" w:lineRule="auto"/>
        <w:rPr>
          <w:rFonts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sz w:val="32"/>
          <w:szCs w:val="32"/>
          <w:lang w:eastAsia="zh-CN"/>
        </w:rPr>
        <w:t>第一章 资源配置与运行数据指标</w:t>
      </w:r>
    </w:p>
    <w:p>
      <w:pPr>
        <w:numPr>
          <w:ilvl w:val="0"/>
          <w:numId w:val="5"/>
        </w:numPr>
        <w:spacing w:line="480" w:lineRule="auto"/>
        <w:rPr>
          <w:rFonts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sz w:val="32"/>
          <w:szCs w:val="32"/>
          <w:lang w:eastAsia="zh-CN"/>
        </w:rPr>
        <w:t>第二章 医疗服务能力与医院质量安全指标</w:t>
      </w:r>
    </w:p>
    <w:p>
      <w:pPr>
        <w:numPr>
          <w:ilvl w:val="0"/>
          <w:numId w:val="5"/>
        </w:numPr>
        <w:spacing w:line="480" w:lineRule="auto"/>
        <w:rPr>
          <w:rFonts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sz w:val="32"/>
          <w:szCs w:val="32"/>
          <w:lang w:eastAsia="zh-CN"/>
        </w:rPr>
        <w:t>第三章 重点专业质量控制指标</w:t>
      </w:r>
    </w:p>
    <w:p>
      <w:pPr>
        <w:numPr>
          <w:ilvl w:val="0"/>
          <w:numId w:val="5"/>
        </w:numPr>
        <w:spacing w:line="480" w:lineRule="auto"/>
        <w:rPr>
          <w:rFonts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sz w:val="32"/>
          <w:szCs w:val="32"/>
          <w:lang w:eastAsia="zh-CN"/>
        </w:rPr>
        <w:t>第四章 住院重点疾病质量控制指标</w:t>
      </w:r>
    </w:p>
    <w:p>
      <w:pPr>
        <w:spacing w:line="222" w:lineRule="auto"/>
        <w:rPr>
          <w:color w:val="auto"/>
          <w:lang w:eastAsia="zh-CN"/>
        </w:rPr>
        <w:sectPr>
          <w:footerReference r:id="rId10" w:type="default"/>
          <w:pgSz w:w="16839" w:h="11906"/>
          <w:pgMar w:top="1012" w:right="2525" w:bottom="1492" w:left="1559" w:header="0" w:footer="1332" w:gutter="0"/>
          <w:pgNumType w:fmt="numberInDash"/>
          <w:cols w:space="720" w:num="1"/>
        </w:sectPr>
      </w:pPr>
    </w:p>
    <w:p>
      <w:pPr>
        <w:spacing w:line="268" w:lineRule="auto"/>
        <w:rPr>
          <w:color w:val="auto"/>
          <w:lang w:eastAsia="zh-CN"/>
        </w:rPr>
      </w:pPr>
    </w:p>
    <w:p>
      <w:pPr>
        <w:spacing w:line="269" w:lineRule="auto"/>
        <w:rPr>
          <w:color w:val="auto"/>
          <w:lang w:eastAsia="zh-CN"/>
        </w:rPr>
      </w:pPr>
    </w:p>
    <w:p>
      <w:pPr>
        <w:spacing w:before="140" w:line="603" w:lineRule="exact"/>
        <w:ind w:left="3740"/>
        <w:rPr>
          <w:rFonts w:ascii="宋体" w:hAnsi="宋体" w:eastAsia="宋体" w:cs="宋体"/>
          <w:color w:val="auto"/>
          <w:sz w:val="43"/>
          <w:szCs w:val="43"/>
          <w:lang w:eastAsia="zh-CN"/>
        </w:rPr>
      </w:pPr>
      <w:r>
        <w:rPr>
          <w:rFonts w:ascii="宋体" w:hAnsi="宋体" w:eastAsia="宋体" w:cs="宋体"/>
          <w:color w:val="auto"/>
          <w:spacing w:val="8"/>
          <w:position w:val="3"/>
          <w:sz w:val="43"/>
          <w:szCs w:val="43"/>
          <w:lang w:eastAsia="zh-CN"/>
        </w:rPr>
        <w:t>第一章资源配置与运行数据指标</w:t>
      </w:r>
    </w:p>
    <w:p>
      <w:pPr>
        <w:pStyle w:val="2"/>
        <w:spacing w:before="110" w:line="222" w:lineRule="auto"/>
        <w:ind w:left="166"/>
        <w:rPr>
          <w:color w:val="auto"/>
          <w:lang w:eastAsia="zh-CN"/>
        </w:rPr>
      </w:pPr>
      <w:r>
        <w:rPr>
          <w:color w:val="auto"/>
          <w:spacing w:val="4"/>
          <w:lang w:eastAsia="zh-CN"/>
        </w:rPr>
        <w:t>数据来源：</w:t>
      </w:r>
    </w:p>
    <w:p>
      <w:pPr>
        <w:pStyle w:val="2"/>
        <w:spacing w:before="189" w:line="559" w:lineRule="exact"/>
        <w:ind w:left="790"/>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position w:val="18"/>
          <w:lang w:eastAsia="zh-CN"/>
        </w:rPr>
        <w:t>（</w:t>
      </w:r>
      <w:r>
        <w:rPr>
          <w:rFonts w:hint="eastAsia" w:ascii="华文仿宋" w:hAnsi="华文仿宋" w:eastAsia="华文仿宋" w:cs="华文仿宋"/>
          <w:b/>
          <w:bCs/>
          <w:color w:val="auto"/>
          <w:spacing w:val="10"/>
          <w:position w:val="18"/>
          <w:lang w:eastAsia="zh-CN"/>
        </w:rPr>
        <w:t>1</w:t>
      </w:r>
      <w:r>
        <w:rPr>
          <w:rFonts w:hint="eastAsia" w:ascii="华文仿宋" w:hAnsi="华文仿宋" w:eastAsia="华文仿宋" w:cs="华文仿宋"/>
          <w:color w:val="auto"/>
          <w:spacing w:val="10"/>
          <w:position w:val="18"/>
          <w:lang w:eastAsia="zh-CN"/>
        </w:rPr>
        <w:t>）广东省卫生健康统计信息网络直报系统</w:t>
      </w:r>
    </w:p>
    <w:p>
      <w:pPr>
        <w:pStyle w:val="2"/>
        <w:spacing w:line="221" w:lineRule="auto"/>
        <w:ind w:left="790"/>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lang w:eastAsia="zh-CN"/>
        </w:rPr>
        <w:t>（</w:t>
      </w:r>
      <w:r>
        <w:rPr>
          <w:rFonts w:hint="eastAsia" w:ascii="华文仿宋" w:hAnsi="华文仿宋" w:eastAsia="华文仿宋" w:cs="华文仿宋"/>
          <w:b/>
          <w:bCs/>
          <w:color w:val="auto"/>
          <w:spacing w:val="10"/>
          <w:lang w:eastAsia="zh-CN"/>
        </w:rPr>
        <w:t>2</w:t>
      </w:r>
      <w:r>
        <w:rPr>
          <w:rFonts w:hint="eastAsia" w:ascii="华文仿宋" w:hAnsi="华文仿宋" w:eastAsia="华文仿宋" w:cs="华文仿宋"/>
          <w:color w:val="auto"/>
          <w:spacing w:val="10"/>
          <w:lang w:eastAsia="zh-CN"/>
        </w:rPr>
        <w:t>）国家公立医院绩效管理平台</w:t>
      </w:r>
    </w:p>
    <w:p>
      <w:pPr>
        <w:pStyle w:val="2"/>
        <w:spacing w:before="188" w:line="561" w:lineRule="exact"/>
        <w:ind w:left="790"/>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1"/>
          <w:position w:val="18"/>
          <w:lang w:eastAsia="zh-CN"/>
        </w:rPr>
        <w:t>（</w:t>
      </w:r>
      <w:r>
        <w:rPr>
          <w:rFonts w:hint="eastAsia" w:ascii="华文仿宋" w:hAnsi="华文仿宋" w:eastAsia="华文仿宋" w:cs="华文仿宋"/>
          <w:b/>
          <w:bCs/>
          <w:color w:val="auto"/>
          <w:spacing w:val="11"/>
          <w:position w:val="18"/>
          <w:lang w:eastAsia="zh-CN"/>
        </w:rPr>
        <w:t>3</w:t>
      </w:r>
      <w:r>
        <w:rPr>
          <w:rFonts w:hint="eastAsia" w:ascii="华文仿宋" w:hAnsi="华文仿宋" w:eastAsia="华文仿宋" w:cs="华文仿宋"/>
          <w:color w:val="auto"/>
          <w:spacing w:val="11"/>
          <w:position w:val="18"/>
          <w:lang w:eastAsia="zh-CN"/>
        </w:rPr>
        <w:t>）国家医疗质量管理与控制信息网（</w:t>
      </w:r>
      <w:r>
        <w:rPr>
          <w:rFonts w:hint="eastAsia" w:ascii="华文仿宋" w:hAnsi="华文仿宋" w:eastAsia="华文仿宋" w:cs="华文仿宋"/>
          <w:b/>
          <w:bCs/>
          <w:color w:val="auto"/>
          <w:position w:val="18"/>
          <w:lang w:eastAsia="zh-CN"/>
        </w:rPr>
        <w:t>NCIS</w:t>
      </w:r>
      <w:r>
        <w:rPr>
          <w:rFonts w:hint="eastAsia" w:ascii="华文仿宋" w:hAnsi="华文仿宋" w:eastAsia="华文仿宋" w:cs="华文仿宋"/>
          <w:color w:val="auto"/>
          <w:spacing w:val="11"/>
          <w:position w:val="18"/>
          <w:lang w:eastAsia="zh-CN"/>
        </w:rPr>
        <w:t>）</w:t>
      </w:r>
    </w:p>
    <w:p>
      <w:pPr>
        <w:pStyle w:val="2"/>
        <w:spacing w:line="222" w:lineRule="auto"/>
        <w:ind w:left="790"/>
        <w:rPr>
          <w:rFonts w:hint="eastAsia" w:ascii="华文仿宋" w:hAnsi="华文仿宋" w:eastAsia="华文仿宋" w:cs="华文仿宋"/>
          <w:color w:val="auto"/>
        </w:rPr>
      </w:pPr>
      <w:r>
        <w:rPr>
          <w:rFonts w:hint="eastAsia" w:ascii="华文仿宋" w:hAnsi="华文仿宋" w:eastAsia="华文仿宋" w:cs="华文仿宋"/>
          <w:color w:val="auto"/>
        </w:rPr>
        <w:t>（</w:t>
      </w:r>
      <w:r>
        <w:rPr>
          <w:rFonts w:hint="eastAsia" w:ascii="华文仿宋" w:hAnsi="华文仿宋" w:eastAsia="华文仿宋" w:cs="华文仿宋"/>
          <w:b/>
          <w:bCs/>
          <w:color w:val="auto"/>
        </w:rPr>
        <w:t>4</w:t>
      </w:r>
      <w:r>
        <w:rPr>
          <w:rFonts w:hint="eastAsia" w:ascii="华文仿宋" w:hAnsi="华文仿宋" w:eastAsia="华文仿宋" w:cs="华文仿宋"/>
          <w:color w:val="auto"/>
        </w:rPr>
        <w:t>）医院填报</w:t>
      </w:r>
    </w:p>
    <w:p>
      <w:pPr>
        <w:spacing w:before="23"/>
        <w:rPr>
          <w:color w:val="auto"/>
        </w:rPr>
      </w:pPr>
    </w:p>
    <w:p>
      <w:pPr>
        <w:spacing w:before="22"/>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588"/>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1"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1"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1"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56" w:type="dxa"/>
            <w:vMerge w:val="restart"/>
            <w:tcBorders>
              <w:bottom w:val="nil"/>
            </w:tcBorders>
          </w:tcPr>
          <w:p>
            <w:pPr>
              <w:spacing w:line="278" w:lineRule="auto"/>
              <w:rPr>
                <w:color w:val="auto"/>
              </w:rPr>
            </w:pPr>
          </w:p>
          <w:p>
            <w:pPr>
              <w:spacing w:line="278" w:lineRule="auto"/>
              <w:rPr>
                <w:color w:val="auto"/>
              </w:rPr>
            </w:pPr>
          </w:p>
          <w:p>
            <w:pPr>
              <w:spacing w:line="278" w:lineRule="auto"/>
              <w:rPr>
                <w:color w:val="auto"/>
              </w:rPr>
            </w:pPr>
          </w:p>
          <w:p>
            <w:pPr>
              <w:spacing w:line="279" w:lineRule="auto"/>
              <w:rPr>
                <w:color w:val="auto"/>
              </w:rPr>
            </w:pPr>
          </w:p>
          <w:p>
            <w:pPr>
              <w:spacing w:line="279" w:lineRule="auto"/>
              <w:rPr>
                <w:color w:val="auto"/>
              </w:rPr>
            </w:pPr>
          </w:p>
          <w:p>
            <w:pPr>
              <w:spacing w:line="279" w:lineRule="auto"/>
              <w:rPr>
                <w:color w:val="auto"/>
              </w:rPr>
            </w:pPr>
          </w:p>
          <w:p>
            <w:pPr>
              <w:pStyle w:val="8"/>
              <w:spacing w:before="61" w:line="232" w:lineRule="auto"/>
              <w:ind w:left="29" w:right="16" w:firstLine="6"/>
              <w:rPr>
                <w:color w:val="auto"/>
              </w:rPr>
            </w:pPr>
            <w:r>
              <w:rPr>
                <w:color w:val="auto"/>
                <w:spacing w:val="9"/>
              </w:rPr>
              <w:t>一、床位配</w:t>
            </w:r>
            <w:r>
              <w:rPr>
                <w:color w:val="auto"/>
              </w:rPr>
              <w:t>置</w:t>
            </w:r>
          </w:p>
        </w:tc>
        <w:tc>
          <w:tcPr>
            <w:tcW w:w="2588" w:type="dxa"/>
          </w:tcPr>
          <w:p>
            <w:pPr>
              <w:pStyle w:val="8"/>
              <w:spacing w:before="278" w:line="225" w:lineRule="auto"/>
              <w:ind w:left="14"/>
              <w:rPr>
                <w:color w:val="auto"/>
              </w:rPr>
            </w:pPr>
            <w:r>
              <w:rPr>
                <w:color w:val="auto"/>
                <w:spacing w:val="3"/>
              </w:rPr>
              <w:t>（一）核定床位数</w:t>
            </w:r>
          </w:p>
        </w:tc>
        <w:tc>
          <w:tcPr>
            <w:tcW w:w="1307" w:type="dxa"/>
          </w:tcPr>
          <w:p>
            <w:pPr>
              <w:pStyle w:val="8"/>
              <w:spacing w:before="37" w:line="224" w:lineRule="auto"/>
              <w:ind w:left="17" w:right="90" w:firstLine="4"/>
              <w:jc w:val="both"/>
              <w:rPr>
                <w:color w:val="auto"/>
                <w:lang w:eastAsia="zh-CN"/>
              </w:rPr>
            </w:pPr>
            <w:r>
              <w:rPr>
                <w:color w:val="auto"/>
                <w:spacing w:val="8"/>
                <w:lang w:eastAsia="zh-CN"/>
              </w:rPr>
              <w:t>定量指标，规</w:t>
            </w:r>
            <w:r>
              <w:rPr>
                <w:color w:val="auto"/>
                <w:spacing w:val="9"/>
                <w:lang w:eastAsia="zh-CN"/>
              </w:rPr>
              <w:t>模类指标，必</w:t>
            </w:r>
            <w:r>
              <w:rPr>
                <w:color w:val="auto"/>
                <w:spacing w:val="6"/>
                <w:lang w:eastAsia="zh-CN"/>
              </w:rPr>
              <w:t>填指标。</w:t>
            </w:r>
          </w:p>
        </w:tc>
        <w:tc>
          <w:tcPr>
            <w:tcW w:w="1044" w:type="dxa"/>
          </w:tcPr>
          <w:p>
            <w:pPr>
              <w:pStyle w:val="8"/>
              <w:spacing w:before="277" w:line="227" w:lineRule="auto"/>
              <w:ind w:left="438"/>
              <w:rPr>
                <w:color w:val="auto"/>
              </w:rPr>
            </w:pPr>
            <w:r>
              <w:rPr>
                <w:color w:val="auto"/>
              </w:rPr>
              <w:t>张</w:t>
            </w:r>
          </w:p>
        </w:tc>
        <w:tc>
          <w:tcPr>
            <w:tcW w:w="3371" w:type="dxa"/>
          </w:tcPr>
          <w:p>
            <w:pPr>
              <w:pStyle w:val="8"/>
              <w:spacing w:before="64" w:line="229" w:lineRule="auto"/>
              <w:ind w:left="37" w:right="12" w:firstLine="3"/>
              <w:rPr>
                <w:color w:val="auto"/>
                <w:lang w:eastAsia="zh-CN"/>
              </w:rPr>
            </w:pPr>
            <w:r>
              <w:rPr>
                <w:color w:val="auto"/>
                <w:spacing w:val="4"/>
                <w:lang w:eastAsia="zh-CN"/>
              </w:rPr>
              <w:t>即编制床位，由卫生健康行政部门核定</w:t>
            </w:r>
            <w:r>
              <w:rPr>
                <w:color w:val="auto"/>
                <w:spacing w:val="2"/>
                <w:lang w:eastAsia="zh-CN"/>
              </w:rPr>
              <w:t>的床位数。</w:t>
            </w:r>
          </w:p>
        </w:tc>
        <w:tc>
          <w:tcPr>
            <w:tcW w:w="3527" w:type="dxa"/>
          </w:tcPr>
          <w:p>
            <w:pPr>
              <w:pStyle w:val="8"/>
              <w:spacing w:before="64" w:line="229" w:lineRule="auto"/>
              <w:ind w:left="23" w:right="11" w:firstLine="25"/>
              <w:rPr>
                <w:color w:val="auto"/>
                <w:lang w:eastAsia="zh-CN"/>
              </w:rPr>
            </w:pPr>
            <w:r>
              <w:rPr>
                <w:color w:val="auto"/>
                <w:spacing w:val="10"/>
                <w:lang w:eastAsia="zh-CN"/>
              </w:rPr>
              <w:t>以《医疗机构执业许可证》副本登记的</w:t>
            </w:r>
            <w:r>
              <w:rPr>
                <w:color w:val="auto"/>
                <w:spacing w:val="6"/>
                <w:lang w:eastAsia="zh-CN"/>
              </w:rPr>
              <w:t>床位数为准。</w:t>
            </w:r>
          </w:p>
        </w:tc>
        <w:tc>
          <w:tcPr>
            <w:tcW w:w="1167" w:type="dxa"/>
          </w:tcPr>
          <w:p>
            <w:pPr>
              <w:pStyle w:val="8"/>
              <w:spacing w:before="278"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056" w:type="dxa"/>
            <w:vMerge w:val="continue"/>
            <w:tcBorders>
              <w:top w:val="nil"/>
              <w:bottom w:val="nil"/>
            </w:tcBorders>
          </w:tcPr>
          <w:p>
            <w:pPr>
              <w:rPr>
                <w:color w:val="auto"/>
              </w:rPr>
            </w:pPr>
          </w:p>
        </w:tc>
        <w:tc>
          <w:tcPr>
            <w:tcW w:w="2588" w:type="dxa"/>
          </w:tcPr>
          <w:p>
            <w:pPr>
              <w:spacing w:line="453" w:lineRule="auto"/>
              <w:rPr>
                <w:color w:val="auto"/>
                <w:lang w:eastAsia="zh-CN"/>
              </w:rPr>
            </w:pPr>
          </w:p>
          <w:p>
            <w:pPr>
              <w:pStyle w:val="8"/>
              <w:spacing w:before="62" w:line="225" w:lineRule="auto"/>
              <w:ind w:left="14"/>
              <w:rPr>
                <w:color w:val="auto"/>
                <w:lang w:eastAsia="zh-CN"/>
              </w:rPr>
            </w:pPr>
            <w:r>
              <w:rPr>
                <w:color w:val="auto"/>
                <w:spacing w:val="-1"/>
                <w:lang w:eastAsia="zh-CN"/>
              </w:rPr>
              <w:t>（二）实际开放床位数</w:t>
            </w:r>
          </w:p>
        </w:tc>
        <w:tc>
          <w:tcPr>
            <w:tcW w:w="1307" w:type="dxa"/>
          </w:tcPr>
          <w:p>
            <w:pPr>
              <w:pStyle w:val="8"/>
              <w:spacing w:before="277" w:line="231" w:lineRule="auto"/>
              <w:ind w:left="17" w:right="13" w:firstLine="4"/>
              <w:jc w:val="both"/>
              <w:rPr>
                <w:color w:val="auto"/>
                <w:lang w:eastAsia="zh-CN"/>
              </w:rPr>
            </w:pPr>
            <w:r>
              <w:rPr>
                <w:color w:val="auto"/>
                <w:spacing w:val="14"/>
                <w:lang w:eastAsia="zh-CN"/>
              </w:rPr>
              <w:t>定量指标，规模类指标，必</w:t>
            </w:r>
            <w:r>
              <w:rPr>
                <w:color w:val="auto"/>
                <w:spacing w:val="6"/>
                <w:lang w:eastAsia="zh-CN"/>
              </w:rPr>
              <w:t>填指标。</w:t>
            </w:r>
          </w:p>
        </w:tc>
        <w:tc>
          <w:tcPr>
            <w:tcW w:w="1044" w:type="dxa"/>
          </w:tcPr>
          <w:p>
            <w:pPr>
              <w:spacing w:line="453" w:lineRule="auto"/>
              <w:rPr>
                <w:color w:val="auto"/>
                <w:lang w:eastAsia="zh-CN"/>
              </w:rPr>
            </w:pPr>
          </w:p>
          <w:p>
            <w:pPr>
              <w:pStyle w:val="8"/>
              <w:spacing w:before="62" w:line="227" w:lineRule="auto"/>
              <w:ind w:left="438"/>
              <w:rPr>
                <w:color w:val="auto"/>
              </w:rPr>
            </w:pPr>
            <w:r>
              <w:rPr>
                <w:color w:val="auto"/>
              </w:rPr>
              <w:t>张</w:t>
            </w:r>
          </w:p>
        </w:tc>
        <w:tc>
          <w:tcPr>
            <w:tcW w:w="3371" w:type="dxa"/>
          </w:tcPr>
          <w:p>
            <w:pPr>
              <w:pStyle w:val="8"/>
              <w:spacing w:before="67" w:line="225" w:lineRule="auto"/>
              <w:ind w:left="30"/>
              <w:rPr>
                <w:color w:val="auto"/>
                <w:lang w:eastAsia="zh-CN"/>
              </w:rPr>
            </w:pPr>
            <w:r>
              <w:rPr>
                <w:color w:val="auto"/>
                <w:spacing w:val="8"/>
                <w:lang w:eastAsia="zh-CN"/>
              </w:rPr>
              <w:t>实有床位数，指年底固定实有床位。</w:t>
            </w:r>
          </w:p>
        </w:tc>
        <w:tc>
          <w:tcPr>
            <w:tcW w:w="3527" w:type="dxa"/>
          </w:tcPr>
          <w:p>
            <w:pPr>
              <w:pStyle w:val="8"/>
              <w:spacing w:before="65" w:line="222" w:lineRule="auto"/>
              <w:ind w:left="19" w:right="11" w:hanging="4"/>
              <w:jc w:val="both"/>
              <w:rPr>
                <w:color w:val="auto"/>
                <w:lang w:eastAsia="zh-CN"/>
              </w:rPr>
            </w:pPr>
            <w:r>
              <w:rPr>
                <w:color w:val="auto"/>
                <w:spacing w:val="15"/>
                <w:lang w:eastAsia="zh-CN"/>
              </w:rPr>
              <w:t>包括正规床、简易床、监护床、超过半</w:t>
            </w:r>
            <w:r>
              <w:rPr>
                <w:color w:val="auto"/>
                <w:spacing w:val="12"/>
                <w:lang w:eastAsia="zh-CN"/>
              </w:rPr>
              <w:t>年加床、正在消毒和修理的床位、因扩</w:t>
            </w:r>
            <w:r>
              <w:rPr>
                <w:color w:val="auto"/>
                <w:spacing w:val="13"/>
                <w:lang w:eastAsia="zh-CN"/>
              </w:rPr>
              <w:t>建或大修而停用的床位。不包括产科新</w:t>
            </w:r>
            <w:r>
              <w:rPr>
                <w:color w:val="auto"/>
                <w:spacing w:val="15"/>
                <w:lang w:eastAsia="zh-CN"/>
              </w:rPr>
              <w:t>生儿床、接产室待产床、库存床、观察</w:t>
            </w:r>
            <w:r>
              <w:rPr>
                <w:color w:val="auto"/>
                <w:spacing w:val="8"/>
                <w:lang w:eastAsia="zh-CN"/>
              </w:rPr>
              <w:t>床、临时加床和病人陪侍床。</w:t>
            </w:r>
          </w:p>
        </w:tc>
        <w:tc>
          <w:tcPr>
            <w:tcW w:w="1167" w:type="dxa"/>
          </w:tcPr>
          <w:p>
            <w:pPr>
              <w:spacing w:line="453"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056" w:type="dxa"/>
            <w:vMerge w:val="continue"/>
            <w:tcBorders>
              <w:top w:val="nil"/>
              <w:bottom w:val="nil"/>
            </w:tcBorders>
          </w:tcPr>
          <w:p>
            <w:pPr>
              <w:rPr>
                <w:color w:val="auto"/>
              </w:rPr>
            </w:pPr>
          </w:p>
        </w:tc>
        <w:tc>
          <w:tcPr>
            <w:tcW w:w="2588" w:type="dxa"/>
          </w:tcPr>
          <w:p>
            <w:pPr>
              <w:pStyle w:val="8"/>
              <w:spacing w:before="241" w:line="229" w:lineRule="auto"/>
              <w:ind w:left="27" w:right="14" w:hanging="13"/>
              <w:rPr>
                <w:color w:val="auto"/>
                <w:lang w:eastAsia="zh-CN"/>
              </w:rPr>
            </w:pPr>
            <w:r>
              <w:rPr>
                <w:color w:val="auto"/>
                <w:spacing w:val="6"/>
                <w:lang w:eastAsia="zh-CN"/>
              </w:rPr>
              <w:t>（三）康复开放床位数占医院</w:t>
            </w:r>
            <w:r>
              <w:rPr>
                <w:color w:val="auto"/>
                <w:spacing w:val="8"/>
                <w:lang w:eastAsia="zh-CN"/>
              </w:rPr>
              <w:t>实际开放床位数的比例</w:t>
            </w:r>
          </w:p>
        </w:tc>
        <w:tc>
          <w:tcPr>
            <w:tcW w:w="1307" w:type="dxa"/>
          </w:tcPr>
          <w:p>
            <w:pPr>
              <w:pStyle w:val="8"/>
              <w:spacing w:before="240" w:line="231" w:lineRule="auto"/>
              <w:ind w:left="17" w:right="13" w:firstLine="4"/>
              <w:jc w:val="both"/>
              <w:rPr>
                <w:color w:val="auto"/>
                <w:lang w:eastAsia="zh-CN"/>
              </w:rPr>
            </w:pPr>
            <w:r>
              <w:rPr>
                <w:color w:val="auto"/>
                <w:spacing w:val="14"/>
                <w:lang w:eastAsia="zh-CN"/>
              </w:rPr>
              <w:t>定量指标，规模类，必填指</w:t>
            </w:r>
            <w:r>
              <w:rPr>
                <w:color w:val="auto"/>
                <w:spacing w:val="1"/>
                <w:lang w:eastAsia="zh-CN"/>
              </w:rPr>
              <w:t>标。</w:t>
            </w:r>
          </w:p>
        </w:tc>
        <w:tc>
          <w:tcPr>
            <w:tcW w:w="1044" w:type="dxa"/>
          </w:tcPr>
          <w:p>
            <w:pPr>
              <w:spacing w:line="386" w:lineRule="auto"/>
              <w:rPr>
                <w:color w:val="auto"/>
                <w:lang w:eastAsia="zh-CN"/>
              </w:rPr>
            </w:pPr>
          </w:p>
          <w:p>
            <w:pPr>
              <w:pStyle w:val="8"/>
              <w:spacing w:before="62"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8" w:line="229" w:lineRule="auto"/>
              <w:ind w:left="21" w:right="12" w:hanging="7"/>
              <w:rPr>
                <w:color w:val="auto"/>
                <w:lang w:eastAsia="zh-CN"/>
              </w:rPr>
            </w:pPr>
            <w:r>
              <w:rPr>
                <w:color w:val="auto"/>
                <w:spacing w:val="18"/>
                <w:lang w:eastAsia="zh-CN"/>
              </w:rPr>
              <w:t>康复开放床位数占同期医院实际开放</w:t>
            </w:r>
            <w:r>
              <w:rPr>
                <w:color w:val="auto"/>
                <w:spacing w:val="7"/>
                <w:lang w:eastAsia="zh-CN"/>
              </w:rPr>
              <w:t>床位数的比例。</w:t>
            </w:r>
          </w:p>
        </w:tc>
        <w:tc>
          <w:tcPr>
            <w:tcW w:w="3527" w:type="dxa"/>
          </w:tcPr>
          <w:p>
            <w:pPr>
              <w:pStyle w:val="8"/>
              <w:spacing w:before="169" w:line="562" w:lineRule="exact"/>
              <w:ind w:left="17"/>
              <w:rPr>
                <w:color w:val="auto"/>
                <w:lang w:eastAsia="zh-CN"/>
              </w:rPr>
            </w:pPr>
            <w:r>
              <w:rPr>
                <w:rFonts w:ascii="Times New Roman" w:hAnsi="Times New Roman" w:eastAsia="Times New Roman" w:cs="Times New Roman"/>
                <w:color w:val="auto"/>
                <w:spacing w:val="9"/>
                <w:position w:val="25"/>
                <w:lang w:eastAsia="zh-CN"/>
              </w:rPr>
              <w:t>=</w:t>
            </w:r>
            <w:r>
              <w:rPr>
                <w:color w:val="auto"/>
                <w:spacing w:val="9"/>
                <w:position w:val="25"/>
                <w:lang w:eastAsia="zh-CN"/>
              </w:rPr>
              <w:t>康复开放床位数</w:t>
            </w:r>
            <w:r>
              <w:rPr>
                <w:rFonts w:ascii="Times New Roman" w:hAnsi="Times New Roman" w:eastAsia="Times New Roman" w:cs="Times New Roman"/>
                <w:color w:val="auto"/>
                <w:spacing w:val="9"/>
                <w:position w:val="25"/>
                <w:lang w:eastAsia="zh-CN"/>
              </w:rPr>
              <w:t>/</w:t>
            </w:r>
            <w:r>
              <w:rPr>
                <w:color w:val="auto"/>
                <w:spacing w:val="9"/>
                <w:position w:val="25"/>
                <w:lang w:eastAsia="zh-CN"/>
              </w:rPr>
              <w:t>同期医院实际开放床</w:t>
            </w:r>
          </w:p>
          <w:p>
            <w:pPr>
              <w:pStyle w:val="8"/>
              <w:spacing w:line="261" w:lineRule="exact"/>
              <w:ind w:left="18"/>
              <w:rPr>
                <w:rFonts w:ascii="Times New Roman" w:hAnsi="Times New Roman" w:eastAsia="Times New Roman" w:cs="Times New Roman"/>
                <w:color w:val="auto"/>
              </w:rPr>
            </w:pPr>
            <w:r>
              <w:rPr>
                <w:color w:val="auto"/>
                <w:spacing w:val="2"/>
                <w:position w:val="1"/>
              </w:rPr>
              <w:t>位数</w:t>
            </w:r>
            <w:r>
              <w:rPr>
                <w:rFonts w:ascii="Times New Roman" w:hAnsi="Times New Roman" w:eastAsia="Times New Roman" w:cs="Times New Roman"/>
                <w:color w:val="auto"/>
                <w:spacing w:val="2"/>
                <w:position w:val="1"/>
              </w:rPr>
              <w:t>×100%</w:t>
            </w:r>
          </w:p>
        </w:tc>
        <w:tc>
          <w:tcPr>
            <w:tcW w:w="1167" w:type="dxa"/>
          </w:tcPr>
          <w:p>
            <w:pPr>
              <w:pStyle w:val="8"/>
              <w:spacing w:before="199"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56" w:type="dxa"/>
            <w:vMerge w:val="continue"/>
            <w:tcBorders>
              <w:top w:val="nil"/>
            </w:tcBorders>
          </w:tcPr>
          <w:p>
            <w:pPr>
              <w:rPr>
                <w:color w:val="auto"/>
              </w:rPr>
            </w:pPr>
          </w:p>
        </w:tc>
        <w:tc>
          <w:tcPr>
            <w:tcW w:w="2588" w:type="dxa"/>
          </w:tcPr>
          <w:p>
            <w:pPr>
              <w:pStyle w:val="8"/>
              <w:spacing w:before="282" w:line="225" w:lineRule="auto"/>
              <w:ind w:left="14"/>
              <w:rPr>
                <w:color w:val="auto"/>
              </w:rPr>
            </w:pPr>
            <w:r>
              <w:rPr>
                <w:color w:val="auto"/>
                <w:spacing w:val="9"/>
              </w:rPr>
              <w:t>（四）床位使用率</w:t>
            </w:r>
          </w:p>
        </w:tc>
        <w:tc>
          <w:tcPr>
            <w:tcW w:w="1307" w:type="dxa"/>
          </w:tcPr>
          <w:p>
            <w:pPr>
              <w:pStyle w:val="8"/>
              <w:spacing w:before="43" w:line="223" w:lineRule="auto"/>
              <w:ind w:left="17" w:right="13" w:firstLine="4"/>
              <w:jc w:val="both"/>
              <w:rPr>
                <w:color w:val="auto"/>
                <w:lang w:eastAsia="zh-CN"/>
              </w:rPr>
            </w:pPr>
            <w:r>
              <w:rPr>
                <w:color w:val="auto"/>
                <w:spacing w:val="14"/>
                <w:lang w:eastAsia="zh-CN"/>
              </w:rPr>
              <w:t>定量指标，规模类，必填指</w:t>
            </w:r>
            <w:r>
              <w:rPr>
                <w:color w:val="auto"/>
                <w:spacing w:val="1"/>
                <w:lang w:eastAsia="zh-CN"/>
              </w:rPr>
              <w:t>标。</w:t>
            </w:r>
          </w:p>
        </w:tc>
        <w:tc>
          <w:tcPr>
            <w:tcW w:w="1044" w:type="dxa"/>
          </w:tcPr>
          <w:p>
            <w:pPr>
              <w:pStyle w:val="8"/>
              <w:spacing w:before="252"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8" w:line="215" w:lineRule="auto"/>
              <w:ind w:left="22" w:right="12" w:firstLine="8"/>
              <w:jc w:val="both"/>
              <w:rPr>
                <w:color w:val="auto"/>
                <w:lang w:eastAsia="zh-CN"/>
              </w:rPr>
            </w:pPr>
            <w:r>
              <w:rPr>
                <w:color w:val="auto"/>
                <w:spacing w:val="5"/>
                <w:lang w:eastAsia="zh-CN"/>
              </w:rPr>
              <w:t>实际使用床位与实有床位的比率，即实</w:t>
            </w:r>
            <w:r>
              <w:rPr>
                <w:color w:val="auto"/>
                <w:spacing w:val="18"/>
                <w:lang w:eastAsia="zh-CN"/>
              </w:rPr>
              <w:t>际占用的总床日数占同期实际开放总</w:t>
            </w:r>
            <w:r>
              <w:rPr>
                <w:color w:val="auto"/>
                <w:spacing w:val="7"/>
                <w:lang w:eastAsia="zh-CN"/>
              </w:rPr>
              <w:t>床日数的比例。</w:t>
            </w:r>
          </w:p>
        </w:tc>
        <w:tc>
          <w:tcPr>
            <w:tcW w:w="3527" w:type="dxa"/>
          </w:tcPr>
          <w:p>
            <w:pPr>
              <w:pStyle w:val="8"/>
              <w:spacing w:before="45" w:line="261" w:lineRule="auto"/>
              <w:ind w:left="34" w:right="11" w:hanging="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实际使用的总床日数</w:t>
            </w:r>
            <w:r>
              <w:rPr>
                <w:rFonts w:ascii="Times New Roman" w:hAnsi="Times New Roman" w:eastAsia="Times New Roman" w:cs="Times New Roman"/>
                <w:color w:val="auto"/>
                <w:spacing w:val="16"/>
                <w:lang w:eastAsia="zh-CN"/>
              </w:rPr>
              <w:t>/</w:t>
            </w:r>
            <w:r>
              <w:rPr>
                <w:color w:val="auto"/>
                <w:spacing w:val="16"/>
                <w:lang w:eastAsia="zh-CN"/>
              </w:rPr>
              <w:t>同期实际开放的</w:t>
            </w:r>
            <w:r>
              <w:rPr>
                <w:color w:val="auto"/>
                <w:spacing w:val="2"/>
                <w:lang w:eastAsia="zh-CN"/>
              </w:rPr>
              <w:t>总床日数</w:t>
            </w:r>
            <w:r>
              <w:rPr>
                <w:rFonts w:ascii="Times New Roman" w:hAnsi="Times New Roman" w:eastAsia="Times New Roman" w:cs="Times New Roman"/>
                <w:color w:val="auto"/>
                <w:spacing w:val="2"/>
                <w:lang w:eastAsia="zh-CN"/>
              </w:rPr>
              <w:t>×100%</w:t>
            </w:r>
          </w:p>
        </w:tc>
        <w:tc>
          <w:tcPr>
            <w:tcW w:w="1167" w:type="dxa"/>
          </w:tcPr>
          <w:p>
            <w:pPr>
              <w:pStyle w:val="8"/>
              <w:spacing w:before="282" w:line="226" w:lineRule="auto"/>
              <w:ind w:left="194"/>
              <w:rPr>
                <w:color w:val="auto"/>
              </w:rPr>
            </w:pPr>
            <w:r>
              <w:rPr>
                <w:color w:val="auto"/>
                <w:spacing w:val="6"/>
              </w:rPr>
              <w:t>监测达标</w:t>
            </w:r>
          </w:p>
        </w:tc>
      </w:tr>
    </w:tbl>
    <w:p>
      <w:pPr>
        <w:rPr>
          <w:color w:val="auto"/>
        </w:rPr>
        <w:sectPr>
          <w:footerReference r:id="rId11"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94"/>
        <w:gridCol w:w="1055"/>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restart"/>
            <w:tcBorders>
              <w:bottom w:val="nil"/>
            </w:tcBorders>
          </w:tcPr>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ind w:left="24" w:right="16" w:firstLine="9"/>
              <w:rPr>
                <w:color w:val="auto"/>
                <w:lang w:eastAsia="zh-CN"/>
              </w:rPr>
            </w:pPr>
            <w:r>
              <w:rPr>
                <w:color w:val="auto"/>
                <w:spacing w:val="10"/>
                <w:lang w:eastAsia="zh-CN"/>
              </w:rPr>
              <w:t>二、卫生技</w:t>
            </w:r>
            <w:r>
              <w:rPr>
                <w:color w:val="auto"/>
                <w:spacing w:val="7"/>
                <w:lang w:eastAsia="zh-CN"/>
              </w:rPr>
              <w:t>术人员配备</w:t>
            </w:r>
          </w:p>
        </w:tc>
        <w:tc>
          <w:tcPr>
            <w:tcW w:w="839" w:type="dxa"/>
            <w:vMerge w:val="restart"/>
            <w:tcBorders>
              <w:bottom w:val="nil"/>
            </w:tcBorders>
          </w:tcPr>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ind w:left="18" w:right="15" w:hanging="4"/>
              <w:jc w:val="both"/>
              <w:rPr>
                <w:color w:val="auto"/>
                <w:lang w:eastAsia="zh-CN"/>
              </w:rPr>
            </w:pPr>
            <w:r>
              <w:rPr>
                <w:color w:val="auto"/>
                <w:spacing w:val="-17"/>
                <w:lang w:eastAsia="zh-CN"/>
              </w:rPr>
              <w:t>（一）卫</w:t>
            </w:r>
            <w:r>
              <w:rPr>
                <w:color w:val="auto"/>
                <w:spacing w:val="10"/>
                <w:lang w:eastAsia="zh-CN"/>
              </w:rPr>
              <w:t>生技术人员数与开放床位数</w:t>
            </w:r>
            <w:r>
              <w:rPr>
                <w:color w:val="auto"/>
                <w:lang w:eastAsia="zh-CN"/>
              </w:rPr>
              <w:t>比</w:t>
            </w:r>
          </w:p>
        </w:tc>
        <w:tc>
          <w:tcPr>
            <w:tcW w:w="1749" w:type="dxa"/>
            <w:gridSpan w:val="2"/>
          </w:tcPr>
          <w:p>
            <w:pPr>
              <w:pStyle w:val="8"/>
              <w:autoSpaceDE/>
              <w:autoSpaceDN/>
              <w:spacing w:before="0" w:line="240" w:lineRule="exact"/>
              <w:ind w:left="30" w:right="14" w:firstLine="4"/>
              <w:jc w:val="both"/>
              <w:rPr>
                <w:color w:val="auto"/>
                <w:lang w:eastAsia="zh-CN"/>
              </w:rPr>
            </w:pPr>
            <w:r>
              <w:rPr>
                <w:rFonts w:ascii="Times New Roman" w:hAnsi="Times New Roman" w:eastAsia="Times New Roman" w:cs="Times New Roman"/>
                <w:color w:val="auto"/>
                <w:spacing w:val="16"/>
                <w:lang w:eastAsia="zh-CN"/>
              </w:rPr>
              <w:t>1.</w:t>
            </w:r>
            <w:r>
              <w:rPr>
                <w:color w:val="auto"/>
                <w:spacing w:val="16"/>
                <w:lang w:eastAsia="zh-CN"/>
              </w:rPr>
              <w:t>卫生技术人员数</w:t>
            </w:r>
            <w:r>
              <w:rPr>
                <w:color w:val="auto"/>
                <w:spacing w:val="22"/>
                <w:lang w:eastAsia="zh-CN"/>
              </w:rPr>
              <w:t>与实际开放床位数</w:t>
            </w:r>
            <w:r>
              <w:rPr>
                <w:color w:val="auto"/>
                <w:lang w:eastAsia="zh-CN"/>
              </w:rPr>
              <w:t>比</w:t>
            </w:r>
          </w:p>
        </w:tc>
        <w:tc>
          <w:tcPr>
            <w:tcW w:w="1307" w:type="dxa"/>
          </w:tcPr>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pStyle w:val="8"/>
              <w:autoSpaceDE/>
              <w:autoSpaceDN/>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autoSpaceDE/>
              <w:autoSpaceDN/>
              <w:spacing w:before="0" w:line="240" w:lineRule="exact"/>
              <w:ind w:left="37" w:right="12" w:firstLine="6"/>
              <w:rPr>
                <w:color w:val="auto"/>
                <w:lang w:eastAsia="zh-CN"/>
              </w:rPr>
            </w:pPr>
            <w:r>
              <w:rPr>
                <w:color w:val="auto"/>
                <w:spacing w:val="16"/>
                <w:lang w:eastAsia="zh-CN"/>
              </w:rPr>
              <w:t>医院卫生技术人员总数与同期全院实</w:t>
            </w:r>
            <w:r>
              <w:rPr>
                <w:color w:val="auto"/>
                <w:spacing w:val="5"/>
                <w:lang w:eastAsia="zh-CN"/>
              </w:rPr>
              <w:t>际开放床数之比。</w:t>
            </w:r>
          </w:p>
        </w:tc>
        <w:tc>
          <w:tcPr>
            <w:tcW w:w="3527" w:type="dxa"/>
          </w:tcPr>
          <w:p>
            <w:pPr>
              <w:pStyle w:val="8"/>
              <w:autoSpaceDE/>
              <w:autoSpaceDN/>
              <w:spacing w:before="0" w:line="240" w:lineRule="exact"/>
              <w:ind w:left="21" w:right="11" w:hanging="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医院卫生技术人员数</w:t>
            </w:r>
            <w:r>
              <w:rPr>
                <w:rFonts w:ascii="Times New Roman" w:hAnsi="Times New Roman" w:eastAsia="Times New Roman" w:cs="Times New Roman"/>
                <w:color w:val="auto"/>
                <w:spacing w:val="16"/>
                <w:lang w:eastAsia="zh-CN"/>
              </w:rPr>
              <w:t>/</w:t>
            </w:r>
            <w:r>
              <w:rPr>
                <w:color w:val="auto"/>
                <w:spacing w:val="16"/>
                <w:lang w:eastAsia="zh-CN"/>
              </w:rPr>
              <w:t>同期全院实际开</w:t>
            </w:r>
            <w:r>
              <w:rPr>
                <w:color w:val="auto"/>
                <w:spacing w:val="7"/>
                <w:lang w:eastAsia="zh-CN"/>
              </w:rPr>
              <w:t>放床数</w:t>
            </w:r>
          </w:p>
        </w:tc>
        <w:tc>
          <w:tcPr>
            <w:tcW w:w="1167" w:type="dxa"/>
          </w:tcPr>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056" w:type="dxa"/>
            <w:vMerge w:val="continue"/>
            <w:tcBorders>
              <w:top w:val="nil"/>
              <w:bottom w:val="nil"/>
            </w:tcBorders>
          </w:tcPr>
          <w:p>
            <w:pPr>
              <w:autoSpaceDE/>
              <w:autoSpaceDN/>
              <w:spacing w:line="240" w:lineRule="exact"/>
              <w:rPr>
                <w:color w:val="auto"/>
              </w:rPr>
            </w:pPr>
          </w:p>
        </w:tc>
        <w:tc>
          <w:tcPr>
            <w:tcW w:w="839" w:type="dxa"/>
            <w:vMerge w:val="continue"/>
            <w:tcBorders>
              <w:top w:val="nil"/>
              <w:bottom w:val="nil"/>
            </w:tcBorders>
          </w:tcPr>
          <w:p>
            <w:pPr>
              <w:autoSpaceDE/>
              <w:autoSpaceDN/>
              <w:spacing w:line="240" w:lineRule="exact"/>
              <w:rPr>
                <w:color w:val="auto"/>
              </w:rPr>
            </w:pPr>
          </w:p>
        </w:tc>
        <w:tc>
          <w:tcPr>
            <w:tcW w:w="1749" w:type="dxa"/>
            <w:gridSpan w:val="2"/>
          </w:tcPr>
          <w:p>
            <w:pPr>
              <w:pStyle w:val="8"/>
              <w:autoSpaceDE/>
              <w:autoSpaceDN/>
              <w:spacing w:before="0" w:line="240" w:lineRule="exact"/>
              <w:ind w:left="15"/>
              <w:rPr>
                <w:color w:val="auto"/>
                <w:lang w:eastAsia="zh-CN"/>
              </w:rPr>
            </w:pPr>
            <w:r>
              <w:rPr>
                <w:rFonts w:ascii="Times New Roman" w:hAnsi="Times New Roman" w:eastAsia="Times New Roman" w:cs="Times New Roman"/>
                <w:color w:val="auto"/>
                <w:spacing w:val="14"/>
                <w:position w:val="28"/>
                <w:lang w:eastAsia="zh-CN"/>
              </w:rPr>
              <w:t>2.</w:t>
            </w:r>
            <w:r>
              <w:rPr>
                <w:color w:val="auto"/>
                <w:spacing w:val="14"/>
                <w:position w:val="28"/>
                <w:lang w:eastAsia="zh-CN"/>
              </w:rPr>
              <w:t>全院护士人数与</w:t>
            </w:r>
          </w:p>
          <w:p>
            <w:pPr>
              <w:pStyle w:val="8"/>
              <w:autoSpaceDE/>
              <w:autoSpaceDN/>
              <w:spacing w:line="240" w:lineRule="exact"/>
              <w:ind w:left="25"/>
              <w:rPr>
                <w:color w:val="auto"/>
                <w:lang w:eastAsia="zh-CN"/>
              </w:rPr>
            </w:pPr>
            <w:r>
              <w:rPr>
                <w:rFonts w:hint="default"/>
                <w:color w:val="auto"/>
                <w:spacing w:val="7"/>
                <w:lang w:val="en-US" w:eastAsia="zh-CN"/>
              </w:rPr>
              <w:t>2.</w:t>
            </w:r>
            <w:bookmarkStart w:id="6" w:name="_GoBack"/>
            <w:bookmarkEnd w:id="6"/>
            <w:r>
              <w:rPr>
                <w:color w:val="auto"/>
                <w:spacing w:val="7"/>
                <w:lang w:eastAsia="zh-CN"/>
              </w:rPr>
              <w:t>开放床位数比</w:t>
            </w:r>
          </w:p>
        </w:tc>
        <w:tc>
          <w:tcPr>
            <w:tcW w:w="1307" w:type="dxa"/>
          </w:tcPr>
          <w:p>
            <w:pPr>
              <w:autoSpaceDE/>
              <w:autoSpaceDN/>
              <w:spacing w:line="240" w:lineRule="exact"/>
              <w:rPr>
                <w:color w:val="auto"/>
                <w:lang w:eastAsia="zh-CN"/>
              </w:rPr>
            </w:pPr>
          </w:p>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autoSpaceDE/>
              <w:autoSpaceDN/>
              <w:spacing w:before="0" w:line="240" w:lineRule="exact"/>
              <w:ind w:left="21" w:right="12" w:firstLine="22"/>
              <w:rPr>
                <w:color w:val="auto"/>
                <w:lang w:eastAsia="zh-CN"/>
              </w:rPr>
            </w:pPr>
            <w:r>
              <w:rPr>
                <w:color w:val="auto"/>
                <w:spacing w:val="16"/>
                <w:lang w:eastAsia="zh-CN"/>
              </w:rPr>
              <w:t>医院执业护士人数与同期全院实际开</w:t>
            </w:r>
            <w:r>
              <w:rPr>
                <w:color w:val="auto"/>
                <w:spacing w:val="7"/>
                <w:lang w:eastAsia="zh-CN"/>
              </w:rPr>
              <w:t>放床位数之比。</w:t>
            </w:r>
          </w:p>
        </w:tc>
        <w:tc>
          <w:tcPr>
            <w:tcW w:w="3527" w:type="dxa"/>
          </w:tcPr>
          <w:p>
            <w:pPr>
              <w:pStyle w:val="8"/>
              <w:autoSpaceDE/>
              <w:autoSpaceDN/>
              <w:spacing w:before="0" w:line="240" w:lineRule="exact"/>
              <w:ind w:left="22" w:right="9" w:hanging="5"/>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医院执业护士人数</w:t>
            </w:r>
            <w:r>
              <w:rPr>
                <w:rFonts w:ascii="Times New Roman" w:hAnsi="Times New Roman" w:eastAsia="Times New Roman" w:cs="Times New Roman"/>
                <w:color w:val="auto"/>
                <w:spacing w:val="16"/>
                <w:lang w:eastAsia="zh-CN"/>
              </w:rPr>
              <w:t>/</w:t>
            </w:r>
            <w:r>
              <w:rPr>
                <w:color w:val="auto"/>
                <w:spacing w:val="16"/>
                <w:lang w:eastAsia="zh-CN"/>
              </w:rPr>
              <w:t>同期全院实际开放</w:t>
            </w:r>
            <w:r>
              <w:rPr>
                <w:color w:val="auto"/>
                <w:spacing w:val="6"/>
                <w:lang w:eastAsia="zh-CN"/>
              </w:rPr>
              <w:t>床位数</w:t>
            </w:r>
          </w:p>
        </w:tc>
        <w:tc>
          <w:tcPr>
            <w:tcW w:w="1167" w:type="dxa"/>
          </w:tcPr>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continue"/>
            <w:tcBorders>
              <w:top w:val="nil"/>
              <w:bottom w:val="nil"/>
            </w:tcBorders>
          </w:tcPr>
          <w:p>
            <w:pPr>
              <w:autoSpaceDE/>
              <w:autoSpaceDN/>
              <w:spacing w:line="240" w:lineRule="exact"/>
              <w:rPr>
                <w:color w:val="auto"/>
              </w:rPr>
            </w:pPr>
          </w:p>
        </w:tc>
        <w:tc>
          <w:tcPr>
            <w:tcW w:w="839" w:type="dxa"/>
            <w:vMerge w:val="continue"/>
            <w:tcBorders>
              <w:top w:val="nil"/>
              <w:bottom w:val="nil"/>
            </w:tcBorders>
          </w:tcPr>
          <w:p>
            <w:pPr>
              <w:autoSpaceDE/>
              <w:autoSpaceDN/>
              <w:spacing w:line="240" w:lineRule="exact"/>
              <w:rPr>
                <w:color w:val="auto"/>
              </w:rPr>
            </w:pPr>
          </w:p>
        </w:tc>
        <w:tc>
          <w:tcPr>
            <w:tcW w:w="1749" w:type="dxa"/>
            <w:gridSpan w:val="2"/>
          </w:tcPr>
          <w:p>
            <w:pPr>
              <w:pStyle w:val="8"/>
              <w:autoSpaceDE/>
              <w:autoSpaceDN/>
              <w:spacing w:before="0" w:line="240" w:lineRule="exact"/>
              <w:ind w:left="24" w:right="14" w:hanging="5"/>
              <w:rPr>
                <w:color w:val="auto"/>
                <w:lang w:eastAsia="zh-CN"/>
              </w:rPr>
            </w:pPr>
            <w:r>
              <w:rPr>
                <w:rFonts w:ascii="Times New Roman" w:hAnsi="Times New Roman" w:eastAsia="Times New Roman" w:cs="Times New Roman"/>
                <w:color w:val="auto"/>
                <w:spacing w:val="13"/>
                <w:lang w:eastAsia="zh-CN"/>
              </w:rPr>
              <w:t>3.</w:t>
            </w:r>
            <w:r>
              <w:rPr>
                <w:color w:val="auto"/>
                <w:spacing w:val="13"/>
                <w:lang w:eastAsia="zh-CN"/>
              </w:rPr>
              <w:t>病区护士人数与</w:t>
            </w:r>
            <w:r>
              <w:rPr>
                <w:color w:val="auto"/>
                <w:spacing w:val="7"/>
                <w:lang w:eastAsia="zh-CN"/>
              </w:rPr>
              <w:t>开放床位数比</w:t>
            </w:r>
          </w:p>
        </w:tc>
        <w:tc>
          <w:tcPr>
            <w:tcW w:w="1307" w:type="dxa"/>
          </w:tcPr>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pStyle w:val="8"/>
              <w:autoSpaceDE/>
              <w:autoSpaceDN/>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autoSpaceDE/>
              <w:autoSpaceDN/>
              <w:spacing w:before="0" w:line="240" w:lineRule="exact"/>
              <w:ind w:left="37" w:right="12" w:firstLine="6"/>
              <w:rPr>
                <w:color w:val="auto"/>
                <w:lang w:eastAsia="zh-CN"/>
              </w:rPr>
            </w:pPr>
            <w:r>
              <w:rPr>
                <w:color w:val="auto"/>
                <w:spacing w:val="16"/>
                <w:lang w:eastAsia="zh-CN"/>
              </w:rPr>
              <w:t>医院病区执业护士人数与同期全院实</w:t>
            </w:r>
            <w:r>
              <w:rPr>
                <w:color w:val="auto"/>
                <w:spacing w:val="6"/>
                <w:lang w:eastAsia="zh-CN"/>
              </w:rPr>
              <w:t>际开放床位数之比。</w:t>
            </w:r>
          </w:p>
        </w:tc>
        <w:tc>
          <w:tcPr>
            <w:tcW w:w="3527" w:type="dxa"/>
          </w:tcPr>
          <w:p>
            <w:pPr>
              <w:pStyle w:val="8"/>
              <w:autoSpaceDE/>
              <w:autoSpaceDN/>
              <w:spacing w:before="0" w:line="240" w:lineRule="exact"/>
              <w:ind w:left="27" w:right="9" w:hanging="10"/>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医院病区执业护士人数</w:t>
            </w:r>
            <w:r>
              <w:rPr>
                <w:rFonts w:ascii="Times New Roman" w:hAnsi="Times New Roman" w:eastAsia="Times New Roman" w:cs="Times New Roman"/>
                <w:color w:val="auto"/>
                <w:spacing w:val="16"/>
                <w:lang w:eastAsia="zh-CN"/>
              </w:rPr>
              <w:t>/</w:t>
            </w:r>
            <w:r>
              <w:rPr>
                <w:color w:val="auto"/>
                <w:spacing w:val="16"/>
                <w:lang w:eastAsia="zh-CN"/>
              </w:rPr>
              <w:t>同期全院实际</w:t>
            </w:r>
            <w:r>
              <w:rPr>
                <w:color w:val="auto"/>
                <w:spacing w:val="6"/>
                <w:lang w:eastAsia="zh-CN"/>
              </w:rPr>
              <w:t>开放床位数</w:t>
            </w:r>
          </w:p>
        </w:tc>
        <w:tc>
          <w:tcPr>
            <w:tcW w:w="1167" w:type="dxa"/>
          </w:tcPr>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56" w:type="dxa"/>
            <w:vMerge w:val="continue"/>
            <w:tcBorders>
              <w:top w:val="nil"/>
              <w:bottom w:val="nil"/>
            </w:tcBorders>
          </w:tcPr>
          <w:p>
            <w:pPr>
              <w:autoSpaceDE/>
              <w:autoSpaceDN/>
              <w:spacing w:line="240" w:lineRule="exact"/>
              <w:rPr>
                <w:color w:val="auto"/>
              </w:rPr>
            </w:pPr>
          </w:p>
        </w:tc>
        <w:tc>
          <w:tcPr>
            <w:tcW w:w="839" w:type="dxa"/>
            <w:vMerge w:val="continue"/>
            <w:tcBorders>
              <w:top w:val="nil"/>
              <w:bottom w:val="nil"/>
            </w:tcBorders>
          </w:tcPr>
          <w:p>
            <w:pPr>
              <w:autoSpaceDE/>
              <w:autoSpaceDN/>
              <w:spacing w:line="240" w:lineRule="exact"/>
              <w:rPr>
                <w:color w:val="auto"/>
              </w:rPr>
            </w:pPr>
          </w:p>
        </w:tc>
        <w:tc>
          <w:tcPr>
            <w:tcW w:w="694" w:type="dxa"/>
            <w:vMerge w:val="restart"/>
            <w:tcBorders>
              <w:bottom w:val="nil"/>
            </w:tcBorders>
          </w:tcPr>
          <w:p>
            <w:pPr>
              <w:autoSpaceDE/>
              <w:autoSpaceDN/>
              <w:spacing w:line="240" w:lineRule="exact"/>
              <w:rPr>
                <w:color w:val="auto"/>
              </w:rPr>
            </w:pPr>
          </w:p>
          <w:p>
            <w:pPr>
              <w:autoSpaceDE/>
              <w:autoSpaceDN/>
              <w:spacing w:line="240" w:lineRule="exact"/>
              <w:rPr>
                <w:color w:val="auto"/>
              </w:rPr>
            </w:pPr>
          </w:p>
          <w:p>
            <w:pPr>
              <w:autoSpaceDE/>
              <w:autoSpaceDN/>
              <w:spacing w:line="240" w:lineRule="exact"/>
              <w:rPr>
                <w:color w:val="auto"/>
              </w:rPr>
            </w:pPr>
          </w:p>
          <w:p>
            <w:pPr>
              <w:autoSpaceDE/>
              <w:autoSpaceDN/>
              <w:spacing w:line="240" w:lineRule="exact"/>
              <w:rPr>
                <w:color w:val="auto"/>
              </w:rPr>
            </w:pPr>
          </w:p>
          <w:p>
            <w:pPr>
              <w:pStyle w:val="8"/>
              <w:autoSpaceDE/>
              <w:autoSpaceDN/>
              <w:spacing w:before="0" w:line="240" w:lineRule="exact"/>
              <w:ind w:left="24" w:right="15" w:hanging="10"/>
              <w:jc w:val="both"/>
              <w:rPr>
                <w:color w:val="auto"/>
              </w:rPr>
            </w:pPr>
            <w:r>
              <w:rPr>
                <w:rFonts w:ascii="Times New Roman" w:hAnsi="Times New Roman" w:eastAsia="Times New Roman" w:cs="Times New Roman"/>
                <w:color w:val="auto"/>
                <w:spacing w:val="-9"/>
              </w:rPr>
              <w:t>4.</w:t>
            </w:r>
            <w:r>
              <w:rPr>
                <w:color w:val="auto"/>
                <w:spacing w:val="-9"/>
              </w:rPr>
              <w:t>医师</w:t>
            </w:r>
            <w:r>
              <w:rPr>
                <w:color w:val="auto"/>
                <w:spacing w:val="26"/>
              </w:rPr>
              <w:t>配备情</w:t>
            </w:r>
            <w:r>
              <w:rPr>
                <w:color w:val="auto"/>
              </w:rPr>
              <w:t>况</w:t>
            </w:r>
          </w:p>
        </w:tc>
        <w:tc>
          <w:tcPr>
            <w:tcW w:w="1055" w:type="dxa"/>
          </w:tcPr>
          <w:p>
            <w:pPr>
              <w:pStyle w:val="8"/>
              <w:autoSpaceDE/>
              <w:autoSpaceDN/>
              <w:spacing w:before="0" w:line="240" w:lineRule="exact"/>
              <w:ind w:left="23" w:right="14" w:hanging="8"/>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1</w:t>
            </w:r>
            <w:r>
              <w:rPr>
                <w:color w:val="auto"/>
                <w:spacing w:val="-5"/>
                <w:lang w:eastAsia="zh-CN"/>
              </w:rPr>
              <w:t>）医师人</w:t>
            </w:r>
            <w:r>
              <w:rPr>
                <w:color w:val="auto"/>
                <w:spacing w:val="12"/>
                <w:lang w:eastAsia="zh-CN"/>
              </w:rPr>
              <w:t>数与医院实际开放床位</w:t>
            </w:r>
            <w:r>
              <w:rPr>
                <w:color w:val="auto"/>
                <w:spacing w:val="2"/>
                <w:lang w:eastAsia="zh-CN"/>
              </w:rPr>
              <w:t>数比</w:t>
            </w:r>
          </w:p>
        </w:tc>
        <w:tc>
          <w:tcPr>
            <w:tcW w:w="1307" w:type="dxa"/>
          </w:tcPr>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autoSpaceDE/>
              <w:autoSpaceDN/>
              <w:spacing w:line="240" w:lineRule="exact"/>
              <w:rPr>
                <w:color w:val="auto"/>
                <w:lang w:eastAsia="zh-CN"/>
              </w:rPr>
            </w:pPr>
          </w:p>
          <w:p>
            <w:pPr>
              <w:pStyle w:val="8"/>
              <w:autoSpaceDE/>
              <w:autoSpaceDN/>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autoSpaceDE/>
              <w:autoSpaceDN/>
              <w:spacing w:before="0" w:line="240" w:lineRule="exact"/>
              <w:ind w:left="30" w:right="12" w:firstLine="13"/>
              <w:rPr>
                <w:color w:val="auto"/>
                <w:lang w:eastAsia="zh-CN"/>
              </w:rPr>
            </w:pPr>
            <w:r>
              <w:rPr>
                <w:color w:val="auto"/>
                <w:spacing w:val="16"/>
                <w:lang w:eastAsia="zh-CN"/>
              </w:rPr>
              <w:t>医院注册在岗的医师总数与同期医院</w:t>
            </w:r>
            <w:r>
              <w:rPr>
                <w:color w:val="auto"/>
                <w:spacing w:val="7"/>
                <w:lang w:eastAsia="zh-CN"/>
              </w:rPr>
              <w:t>实际开放床位数之比。</w:t>
            </w:r>
          </w:p>
        </w:tc>
        <w:tc>
          <w:tcPr>
            <w:tcW w:w="3527" w:type="dxa"/>
          </w:tcPr>
          <w:p>
            <w:pPr>
              <w:pStyle w:val="8"/>
              <w:autoSpaceDE/>
              <w:autoSpaceDN/>
              <w:spacing w:before="0" w:line="240" w:lineRule="exact"/>
              <w:ind w:left="37" w:right="11" w:hanging="20"/>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医院注册在岗的医师总数</w:t>
            </w:r>
            <w:r>
              <w:rPr>
                <w:rFonts w:ascii="Times New Roman" w:hAnsi="Times New Roman" w:eastAsia="Times New Roman" w:cs="Times New Roman"/>
                <w:color w:val="auto"/>
                <w:spacing w:val="16"/>
                <w:lang w:eastAsia="zh-CN"/>
              </w:rPr>
              <w:t>/</w:t>
            </w:r>
            <w:r>
              <w:rPr>
                <w:color w:val="auto"/>
                <w:spacing w:val="16"/>
                <w:lang w:eastAsia="zh-CN"/>
              </w:rPr>
              <w:t>同期医院实</w:t>
            </w:r>
            <w:r>
              <w:rPr>
                <w:color w:val="auto"/>
                <w:spacing w:val="5"/>
                <w:lang w:eastAsia="zh-CN"/>
              </w:rPr>
              <w:t>际开放床位数</w:t>
            </w:r>
          </w:p>
        </w:tc>
        <w:tc>
          <w:tcPr>
            <w:tcW w:w="1167" w:type="dxa"/>
          </w:tcPr>
          <w:p>
            <w:pPr>
              <w:autoSpaceDE/>
              <w:autoSpaceDN/>
              <w:spacing w:line="240" w:lineRule="exact"/>
              <w:rPr>
                <w:color w:val="auto"/>
                <w:lang w:eastAsia="zh-CN"/>
              </w:rPr>
            </w:pPr>
          </w:p>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056" w:type="dxa"/>
            <w:vMerge w:val="continue"/>
            <w:tcBorders>
              <w:top w:val="nil"/>
              <w:bottom w:val="nil"/>
            </w:tcBorders>
          </w:tcPr>
          <w:p>
            <w:pPr>
              <w:autoSpaceDE/>
              <w:autoSpaceDN/>
              <w:spacing w:line="240" w:lineRule="exact"/>
              <w:rPr>
                <w:color w:val="auto"/>
              </w:rPr>
            </w:pPr>
          </w:p>
        </w:tc>
        <w:tc>
          <w:tcPr>
            <w:tcW w:w="839" w:type="dxa"/>
            <w:vMerge w:val="continue"/>
            <w:tcBorders>
              <w:top w:val="nil"/>
              <w:bottom w:val="nil"/>
            </w:tcBorders>
          </w:tcPr>
          <w:p>
            <w:pPr>
              <w:autoSpaceDE/>
              <w:autoSpaceDN/>
              <w:spacing w:line="240" w:lineRule="exact"/>
              <w:rPr>
                <w:color w:val="auto"/>
              </w:rPr>
            </w:pPr>
          </w:p>
        </w:tc>
        <w:tc>
          <w:tcPr>
            <w:tcW w:w="694" w:type="dxa"/>
            <w:vMerge w:val="continue"/>
            <w:tcBorders>
              <w:top w:val="nil"/>
            </w:tcBorders>
          </w:tcPr>
          <w:p>
            <w:pPr>
              <w:autoSpaceDE/>
              <w:autoSpaceDN/>
              <w:spacing w:line="240" w:lineRule="exact"/>
              <w:rPr>
                <w:color w:val="auto"/>
              </w:rPr>
            </w:pPr>
          </w:p>
        </w:tc>
        <w:tc>
          <w:tcPr>
            <w:tcW w:w="1055" w:type="dxa"/>
          </w:tcPr>
          <w:p>
            <w:pPr>
              <w:pStyle w:val="8"/>
              <w:autoSpaceDE/>
              <w:autoSpaceDN/>
              <w:spacing w:before="0" w:line="240" w:lineRule="exact"/>
              <w:ind w:left="17" w:right="14" w:hanging="2"/>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2</w:t>
            </w:r>
            <w:r>
              <w:rPr>
                <w:color w:val="auto"/>
                <w:spacing w:val="-5"/>
                <w:lang w:eastAsia="zh-CN"/>
              </w:rPr>
              <w:t>）医师中</w:t>
            </w:r>
            <w:r>
              <w:rPr>
                <w:color w:val="auto"/>
                <w:spacing w:val="8"/>
                <w:lang w:eastAsia="zh-CN"/>
              </w:rPr>
              <w:t>具有副高级别及以上专业技术职务任职资格人数占医师总数的比例</w:t>
            </w:r>
          </w:p>
        </w:tc>
        <w:tc>
          <w:tcPr>
            <w:tcW w:w="1307" w:type="dxa"/>
          </w:tcPr>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autoSpaceDE/>
              <w:autoSpaceDN/>
              <w:spacing w:before="0" w:line="240" w:lineRule="exact"/>
              <w:ind w:left="29" w:right="12" w:firstLine="14"/>
              <w:jc w:val="both"/>
              <w:rPr>
                <w:color w:val="auto"/>
                <w:lang w:eastAsia="zh-CN"/>
              </w:rPr>
            </w:pPr>
            <w:r>
              <w:rPr>
                <w:color w:val="auto"/>
                <w:spacing w:val="16"/>
                <w:lang w:eastAsia="zh-CN"/>
              </w:rPr>
              <w:t>医师中具有副高级别及以上专业技术</w:t>
            </w:r>
            <w:r>
              <w:rPr>
                <w:color w:val="auto"/>
                <w:spacing w:val="17"/>
                <w:lang w:eastAsia="zh-CN"/>
              </w:rPr>
              <w:t>职务任职资格人数占同期医院注册在</w:t>
            </w:r>
            <w:r>
              <w:rPr>
                <w:color w:val="auto"/>
                <w:spacing w:val="7"/>
                <w:lang w:eastAsia="zh-CN"/>
              </w:rPr>
              <w:t>岗的医师总数的比例。</w:t>
            </w:r>
          </w:p>
        </w:tc>
        <w:tc>
          <w:tcPr>
            <w:tcW w:w="3527" w:type="dxa"/>
          </w:tcPr>
          <w:p>
            <w:pPr>
              <w:pStyle w:val="8"/>
              <w:autoSpaceDE/>
              <w:autoSpaceDN/>
              <w:spacing w:before="0" w:line="240" w:lineRule="exact"/>
              <w:ind w:left="22" w:right="9"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医院具有副高级别及以上职称的医师</w:t>
            </w:r>
            <w:r>
              <w:rPr>
                <w:color w:val="auto"/>
                <w:spacing w:val="-5"/>
                <w:lang w:eastAsia="zh-CN"/>
              </w:rPr>
              <w:t>人数</w:t>
            </w:r>
            <w:r>
              <w:rPr>
                <w:rFonts w:ascii="Times New Roman" w:hAnsi="Times New Roman" w:eastAsia="Times New Roman" w:cs="Times New Roman"/>
                <w:color w:val="auto"/>
                <w:spacing w:val="-5"/>
                <w:lang w:eastAsia="zh-CN"/>
              </w:rPr>
              <w:t>/</w:t>
            </w:r>
            <w:r>
              <w:rPr>
                <w:color w:val="auto"/>
                <w:spacing w:val="-5"/>
                <w:lang w:eastAsia="zh-CN"/>
              </w:rPr>
              <w:t>同期医院注册在岗的医师总数</w:t>
            </w:r>
            <w:r>
              <w:rPr>
                <w:rFonts w:ascii="Times New Roman" w:hAnsi="Times New Roman" w:eastAsia="Times New Roman" w:cs="Times New Roman"/>
                <w:color w:val="auto"/>
                <w:spacing w:val="-2"/>
                <w:lang w:eastAsia="zh-CN"/>
              </w:rPr>
              <w:t>×100%</w:t>
            </w:r>
          </w:p>
        </w:tc>
        <w:tc>
          <w:tcPr>
            <w:tcW w:w="1167" w:type="dxa"/>
          </w:tcPr>
          <w:p>
            <w:pPr>
              <w:autoSpaceDE/>
              <w:autoSpaceDN/>
              <w:spacing w:line="240" w:lineRule="exact"/>
              <w:rPr>
                <w:color w:val="auto"/>
                <w:lang w:eastAsia="zh-CN"/>
              </w:rPr>
            </w:pPr>
          </w:p>
          <w:p>
            <w:pPr>
              <w:autoSpaceDE/>
              <w:autoSpaceDN/>
              <w:spacing w:line="240" w:lineRule="exact"/>
              <w:rPr>
                <w:color w:val="auto"/>
                <w:lang w:eastAsia="zh-CN"/>
              </w:rPr>
            </w:pPr>
          </w:p>
          <w:p>
            <w:pPr>
              <w:autoSpaceDE/>
              <w:autoSpaceDN/>
              <w:spacing w:line="240" w:lineRule="exact"/>
              <w:rPr>
                <w:color w:val="auto"/>
                <w:lang w:eastAsia="zh-CN"/>
              </w:rPr>
            </w:pPr>
          </w:p>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56" w:type="dxa"/>
            <w:vMerge w:val="continue"/>
            <w:tcBorders>
              <w:top w:val="nil"/>
              <w:bottom w:val="nil"/>
            </w:tcBorders>
          </w:tcPr>
          <w:p>
            <w:pPr>
              <w:autoSpaceDE/>
              <w:autoSpaceDN/>
              <w:spacing w:line="240" w:lineRule="exact"/>
              <w:rPr>
                <w:color w:val="auto"/>
              </w:rPr>
            </w:pPr>
          </w:p>
        </w:tc>
        <w:tc>
          <w:tcPr>
            <w:tcW w:w="839" w:type="dxa"/>
            <w:vMerge w:val="continue"/>
            <w:tcBorders>
              <w:top w:val="nil"/>
              <w:bottom w:val="nil"/>
            </w:tcBorders>
          </w:tcPr>
          <w:p>
            <w:pPr>
              <w:autoSpaceDE/>
              <w:autoSpaceDN/>
              <w:spacing w:line="240" w:lineRule="exact"/>
              <w:rPr>
                <w:color w:val="auto"/>
              </w:rPr>
            </w:pPr>
          </w:p>
        </w:tc>
        <w:tc>
          <w:tcPr>
            <w:tcW w:w="694" w:type="dxa"/>
            <w:vMerge w:val="restart"/>
            <w:tcBorders>
              <w:bottom w:val="nil"/>
            </w:tcBorders>
          </w:tcPr>
          <w:p>
            <w:pPr>
              <w:autoSpaceDE/>
              <w:autoSpaceDN/>
              <w:spacing w:line="240" w:lineRule="exact"/>
              <w:rPr>
                <w:color w:val="auto"/>
              </w:rPr>
            </w:pPr>
          </w:p>
          <w:p>
            <w:pPr>
              <w:autoSpaceDE/>
              <w:autoSpaceDN/>
              <w:spacing w:line="240" w:lineRule="exact"/>
              <w:rPr>
                <w:color w:val="auto"/>
              </w:rPr>
            </w:pPr>
          </w:p>
          <w:p>
            <w:pPr>
              <w:pStyle w:val="8"/>
              <w:autoSpaceDE/>
              <w:autoSpaceDN/>
              <w:spacing w:before="0" w:line="240" w:lineRule="exact"/>
              <w:ind w:left="24" w:right="15" w:hanging="4"/>
              <w:jc w:val="both"/>
              <w:rPr>
                <w:color w:val="auto"/>
              </w:rPr>
            </w:pPr>
            <w:r>
              <w:rPr>
                <w:rFonts w:ascii="Times New Roman" w:hAnsi="Times New Roman" w:eastAsia="Times New Roman" w:cs="Times New Roman"/>
                <w:color w:val="auto"/>
                <w:spacing w:val="-1"/>
              </w:rPr>
              <w:t>5.</w:t>
            </w:r>
            <w:r>
              <w:rPr>
                <w:color w:val="auto"/>
                <w:spacing w:val="-1"/>
              </w:rPr>
              <w:t>康复</w:t>
            </w:r>
            <w:r>
              <w:rPr>
                <w:color w:val="auto"/>
                <w:spacing w:val="26"/>
              </w:rPr>
              <w:t>治疗师配备情</w:t>
            </w:r>
            <w:r>
              <w:rPr>
                <w:color w:val="auto"/>
              </w:rPr>
              <w:t>况</w:t>
            </w:r>
          </w:p>
        </w:tc>
        <w:tc>
          <w:tcPr>
            <w:tcW w:w="1055" w:type="dxa"/>
          </w:tcPr>
          <w:p>
            <w:pPr>
              <w:pStyle w:val="8"/>
              <w:autoSpaceDE/>
              <w:autoSpaceDN/>
              <w:spacing w:before="0" w:line="240" w:lineRule="exact"/>
              <w:ind w:left="18" w:right="14" w:hanging="3"/>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1</w:t>
            </w:r>
            <w:r>
              <w:rPr>
                <w:color w:val="auto"/>
                <w:spacing w:val="-5"/>
                <w:lang w:eastAsia="zh-CN"/>
              </w:rPr>
              <w:t>）康复治</w:t>
            </w:r>
            <w:r>
              <w:rPr>
                <w:color w:val="auto"/>
                <w:spacing w:val="13"/>
                <w:lang w:eastAsia="zh-CN"/>
              </w:rPr>
              <w:t>疗师人数与医院实际开</w:t>
            </w:r>
            <w:r>
              <w:rPr>
                <w:color w:val="auto"/>
                <w:spacing w:val="8"/>
                <w:lang w:eastAsia="zh-CN"/>
              </w:rPr>
              <w:t>放床位数比</w:t>
            </w:r>
          </w:p>
        </w:tc>
        <w:tc>
          <w:tcPr>
            <w:tcW w:w="1307" w:type="dxa"/>
          </w:tcPr>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autoSpaceDE/>
              <w:autoSpaceDN/>
              <w:spacing w:line="240" w:lineRule="exact"/>
              <w:rPr>
                <w:color w:val="auto"/>
                <w:lang w:eastAsia="zh-CN"/>
              </w:rPr>
            </w:pPr>
          </w:p>
          <w:p>
            <w:pPr>
              <w:pStyle w:val="8"/>
              <w:autoSpaceDE/>
              <w:autoSpaceDN/>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autoSpaceDE/>
              <w:autoSpaceDN/>
              <w:spacing w:before="0" w:line="240" w:lineRule="exact"/>
              <w:ind w:left="26" w:right="12" w:firstLine="17"/>
              <w:rPr>
                <w:color w:val="auto"/>
                <w:lang w:eastAsia="zh-CN"/>
              </w:rPr>
            </w:pPr>
            <w:r>
              <w:rPr>
                <w:color w:val="auto"/>
                <w:spacing w:val="16"/>
                <w:lang w:eastAsia="zh-CN"/>
              </w:rPr>
              <w:t>医院康复治疗师总数与同期医院实际</w:t>
            </w:r>
            <w:r>
              <w:rPr>
                <w:color w:val="auto"/>
                <w:spacing w:val="6"/>
                <w:lang w:eastAsia="zh-CN"/>
              </w:rPr>
              <w:t>开放床位数之比。</w:t>
            </w:r>
          </w:p>
        </w:tc>
        <w:tc>
          <w:tcPr>
            <w:tcW w:w="3527" w:type="dxa"/>
          </w:tcPr>
          <w:p>
            <w:pPr>
              <w:pStyle w:val="8"/>
              <w:autoSpaceDE/>
              <w:autoSpaceDN/>
              <w:spacing w:before="0" w:line="240" w:lineRule="exact"/>
              <w:ind w:left="21" w:right="11" w:hanging="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医院康复治疗师总数</w:t>
            </w:r>
            <w:r>
              <w:rPr>
                <w:rFonts w:ascii="Times New Roman" w:hAnsi="Times New Roman" w:eastAsia="Times New Roman" w:cs="Times New Roman"/>
                <w:color w:val="auto"/>
                <w:spacing w:val="16"/>
                <w:lang w:eastAsia="zh-CN"/>
              </w:rPr>
              <w:t>/</w:t>
            </w:r>
            <w:r>
              <w:rPr>
                <w:color w:val="auto"/>
                <w:spacing w:val="16"/>
                <w:lang w:eastAsia="zh-CN"/>
              </w:rPr>
              <w:t>同期医院实际开</w:t>
            </w:r>
            <w:r>
              <w:rPr>
                <w:color w:val="auto"/>
                <w:spacing w:val="7"/>
                <w:lang w:eastAsia="zh-CN"/>
              </w:rPr>
              <w:t>放床位数</w:t>
            </w:r>
          </w:p>
        </w:tc>
        <w:tc>
          <w:tcPr>
            <w:tcW w:w="1167" w:type="dxa"/>
          </w:tcPr>
          <w:p>
            <w:pPr>
              <w:autoSpaceDE/>
              <w:autoSpaceDN/>
              <w:spacing w:line="240" w:lineRule="exact"/>
              <w:rPr>
                <w:color w:val="auto"/>
                <w:lang w:eastAsia="zh-CN"/>
              </w:rPr>
            </w:pPr>
          </w:p>
          <w:p>
            <w:pPr>
              <w:pStyle w:val="8"/>
              <w:autoSpaceDE/>
              <w:autoSpaceDN/>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1056" w:type="dxa"/>
            <w:vMerge w:val="continue"/>
            <w:tcBorders>
              <w:top w:val="nil"/>
            </w:tcBorders>
          </w:tcPr>
          <w:p>
            <w:pPr>
              <w:autoSpaceDE/>
              <w:autoSpaceDN/>
              <w:spacing w:line="240" w:lineRule="exact"/>
              <w:rPr>
                <w:color w:val="auto"/>
              </w:rPr>
            </w:pPr>
          </w:p>
        </w:tc>
        <w:tc>
          <w:tcPr>
            <w:tcW w:w="839" w:type="dxa"/>
            <w:vMerge w:val="continue"/>
            <w:tcBorders>
              <w:top w:val="nil"/>
            </w:tcBorders>
          </w:tcPr>
          <w:p>
            <w:pPr>
              <w:autoSpaceDE/>
              <w:autoSpaceDN/>
              <w:spacing w:line="240" w:lineRule="exact"/>
              <w:rPr>
                <w:color w:val="auto"/>
              </w:rPr>
            </w:pPr>
          </w:p>
        </w:tc>
        <w:tc>
          <w:tcPr>
            <w:tcW w:w="694" w:type="dxa"/>
            <w:vMerge w:val="continue"/>
            <w:tcBorders>
              <w:top w:val="nil"/>
            </w:tcBorders>
          </w:tcPr>
          <w:p>
            <w:pPr>
              <w:autoSpaceDE/>
              <w:autoSpaceDN/>
              <w:spacing w:line="240" w:lineRule="exact"/>
              <w:rPr>
                <w:color w:val="auto"/>
              </w:rPr>
            </w:pPr>
          </w:p>
        </w:tc>
        <w:tc>
          <w:tcPr>
            <w:tcW w:w="1055" w:type="dxa"/>
          </w:tcPr>
          <w:p>
            <w:pPr>
              <w:pStyle w:val="8"/>
              <w:autoSpaceDE/>
              <w:autoSpaceDN/>
              <w:spacing w:before="0" w:line="240" w:lineRule="exact"/>
              <w:ind w:left="18" w:right="14" w:hanging="3"/>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2</w:t>
            </w:r>
            <w:r>
              <w:rPr>
                <w:color w:val="auto"/>
                <w:spacing w:val="-5"/>
                <w:lang w:eastAsia="zh-CN"/>
              </w:rPr>
              <w:t>）康复治</w:t>
            </w:r>
            <w:r>
              <w:rPr>
                <w:color w:val="auto"/>
                <w:spacing w:val="13"/>
                <w:lang w:eastAsia="zh-CN"/>
              </w:rPr>
              <w:t>疗师中具有中级及以上专业技术职务任职资格</w:t>
            </w:r>
          </w:p>
        </w:tc>
        <w:tc>
          <w:tcPr>
            <w:tcW w:w="1307" w:type="dxa"/>
          </w:tcPr>
          <w:p>
            <w:pPr>
              <w:pStyle w:val="8"/>
              <w:autoSpaceDE/>
              <w:autoSpaceDN/>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autoSpaceDE/>
              <w:autoSpaceDN/>
              <w:spacing w:line="240" w:lineRule="exact"/>
              <w:rPr>
                <w:color w:val="auto"/>
                <w:lang w:eastAsia="zh-CN"/>
              </w:rPr>
            </w:pPr>
          </w:p>
          <w:p>
            <w:pPr>
              <w:pStyle w:val="8"/>
              <w:autoSpaceDE/>
              <w:autoSpaceDN/>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autoSpaceDE/>
              <w:autoSpaceDN/>
              <w:spacing w:before="0" w:line="240" w:lineRule="exact"/>
              <w:ind w:left="23" w:right="12" w:firstLine="20"/>
              <w:jc w:val="both"/>
              <w:rPr>
                <w:color w:val="auto"/>
                <w:lang w:eastAsia="zh-CN"/>
              </w:rPr>
            </w:pPr>
            <w:r>
              <w:rPr>
                <w:color w:val="auto"/>
                <w:spacing w:val="16"/>
                <w:lang w:eastAsia="zh-CN"/>
              </w:rPr>
              <w:t>医院康复治疗师中具有中级及以上专</w:t>
            </w:r>
            <w:r>
              <w:rPr>
                <w:color w:val="auto"/>
                <w:spacing w:val="18"/>
                <w:lang w:eastAsia="zh-CN"/>
              </w:rPr>
              <w:t>业技术职务任职资格人数占同期医院</w:t>
            </w:r>
            <w:r>
              <w:rPr>
                <w:color w:val="auto"/>
                <w:spacing w:val="8"/>
                <w:lang w:eastAsia="zh-CN"/>
              </w:rPr>
              <w:t>在岗的康复治疗师总数的比例。</w:t>
            </w:r>
          </w:p>
        </w:tc>
        <w:tc>
          <w:tcPr>
            <w:tcW w:w="3527" w:type="dxa"/>
          </w:tcPr>
          <w:p>
            <w:pPr>
              <w:pStyle w:val="8"/>
              <w:autoSpaceDE/>
              <w:autoSpaceDN/>
              <w:spacing w:before="0" w:line="240" w:lineRule="exact"/>
              <w:ind w:left="29" w:right="9" w:hanging="12"/>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医院具有中级及以上职称的康复治疗</w:t>
            </w:r>
            <w:r>
              <w:rPr>
                <w:color w:val="auto"/>
                <w:spacing w:val="10"/>
                <w:lang w:eastAsia="zh-CN"/>
              </w:rPr>
              <w:t>师人数</w:t>
            </w:r>
            <w:r>
              <w:rPr>
                <w:rFonts w:ascii="Times New Roman" w:hAnsi="Times New Roman" w:eastAsia="Times New Roman" w:cs="Times New Roman"/>
                <w:color w:val="auto"/>
                <w:spacing w:val="10"/>
                <w:lang w:eastAsia="zh-CN"/>
              </w:rPr>
              <w:t>/</w:t>
            </w:r>
            <w:r>
              <w:rPr>
                <w:color w:val="auto"/>
                <w:spacing w:val="10"/>
                <w:lang w:eastAsia="zh-CN"/>
              </w:rPr>
              <w:t>同期医院在岗的康复治疗师总数</w:t>
            </w:r>
            <w:r>
              <w:rPr>
                <w:rFonts w:ascii="Times New Roman" w:hAnsi="Times New Roman" w:eastAsia="Times New Roman" w:cs="Times New Roman"/>
                <w:color w:val="auto"/>
                <w:spacing w:val="-3"/>
                <w:lang w:eastAsia="zh-CN"/>
              </w:rPr>
              <w:t>×100%</w:t>
            </w:r>
          </w:p>
        </w:tc>
        <w:tc>
          <w:tcPr>
            <w:tcW w:w="1167" w:type="dxa"/>
          </w:tcPr>
          <w:p>
            <w:pPr>
              <w:autoSpaceDE/>
              <w:autoSpaceDN/>
              <w:spacing w:line="240" w:lineRule="exact"/>
              <w:rPr>
                <w:color w:val="auto"/>
                <w:lang w:eastAsia="zh-CN"/>
              </w:rPr>
            </w:pPr>
          </w:p>
          <w:p>
            <w:pPr>
              <w:pStyle w:val="8"/>
              <w:autoSpaceDE/>
              <w:autoSpaceDN/>
              <w:spacing w:before="0" w:line="240" w:lineRule="exact"/>
              <w:ind w:left="194"/>
              <w:rPr>
                <w:color w:val="auto"/>
              </w:rPr>
            </w:pPr>
            <w:r>
              <w:rPr>
                <w:color w:val="auto"/>
                <w:spacing w:val="6"/>
              </w:rPr>
              <w:t>监测达标</w:t>
            </w:r>
          </w:p>
        </w:tc>
      </w:tr>
    </w:tbl>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94"/>
        <w:gridCol w:w="1055"/>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restart"/>
            <w:tcBorders>
              <w:bottom w:val="nil"/>
            </w:tcBorders>
          </w:tcPr>
          <w:p>
            <w:pPr>
              <w:spacing w:line="240" w:lineRule="exact"/>
              <w:rPr>
                <w:color w:val="auto"/>
              </w:rPr>
            </w:pPr>
          </w:p>
        </w:tc>
        <w:tc>
          <w:tcPr>
            <w:tcW w:w="839" w:type="dxa"/>
            <w:vMerge w:val="restart"/>
            <w:tcBorders>
              <w:bottom w:val="nil"/>
            </w:tcBorders>
          </w:tcPr>
          <w:p>
            <w:pPr>
              <w:spacing w:line="240" w:lineRule="exact"/>
              <w:rPr>
                <w:color w:val="auto"/>
              </w:rPr>
            </w:pPr>
          </w:p>
        </w:tc>
        <w:tc>
          <w:tcPr>
            <w:tcW w:w="694" w:type="dxa"/>
            <w:vMerge w:val="restart"/>
            <w:tcBorders>
              <w:bottom w:val="nil"/>
            </w:tcBorders>
          </w:tcPr>
          <w:p>
            <w:pPr>
              <w:spacing w:line="240" w:lineRule="exact"/>
              <w:rPr>
                <w:color w:val="auto"/>
              </w:rPr>
            </w:pPr>
          </w:p>
        </w:tc>
        <w:tc>
          <w:tcPr>
            <w:tcW w:w="1055" w:type="dxa"/>
          </w:tcPr>
          <w:p>
            <w:pPr>
              <w:pStyle w:val="8"/>
              <w:spacing w:before="0" w:line="240" w:lineRule="exact"/>
              <w:ind w:left="29" w:right="14" w:hanging="9"/>
              <w:jc w:val="both"/>
              <w:rPr>
                <w:color w:val="auto"/>
                <w:lang w:eastAsia="zh-CN"/>
              </w:rPr>
            </w:pPr>
            <w:r>
              <w:rPr>
                <w:color w:val="auto"/>
                <w:spacing w:val="13"/>
                <w:lang w:eastAsia="zh-CN"/>
              </w:rPr>
              <w:t>人数占康复</w:t>
            </w:r>
            <w:r>
              <w:rPr>
                <w:color w:val="auto"/>
                <w:spacing w:val="11"/>
                <w:lang w:eastAsia="zh-CN"/>
              </w:rPr>
              <w:t>治疗师总数</w:t>
            </w:r>
            <w:r>
              <w:rPr>
                <w:color w:val="auto"/>
                <w:spacing w:val="3"/>
                <w:lang w:eastAsia="zh-CN"/>
              </w:rPr>
              <w:t>的比例</w:t>
            </w:r>
          </w:p>
        </w:tc>
        <w:tc>
          <w:tcPr>
            <w:tcW w:w="1307" w:type="dxa"/>
          </w:tcPr>
          <w:p>
            <w:pPr>
              <w:spacing w:line="240" w:lineRule="exact"/>
              <w:rPr>
                <w:color w:val="auto"/>
                <w:lang w:eastAsia="zh-CN"/>
              </w:rPr>
            </w:pPr>
          </w:p>
        </w:tc>
        <w:tc>
          <w:tcPr>
            <w:tcW w:w="1044" w:type="dxa"/>
          </w:tcPr>
          <w:p>
            <w:pPr>
              <w:spacing w:line="240" w:lineRule="exact"/>
              <w:rPr>
                <w:color w:val="auto"/>
                <w:lang w:eastAsia="zh-CN"/>
              </w:rPr>
            </w:pPr>
          </w:p>
        </w:tc>
        <w:tc>
          <w:tcPr>
            <w:tcW w:w="3371" w:type="dxa"/>
          </w:tcPr>
          <w:p>
            <w:pPr>
              <w:spacing w:line="240" w:lineRule="exact"/>
              <w:rPr>
                <w:color w:val="auto"/>
                <w:lang w:eastAsia="zh-CN"/>
              </w:rPr>
            </w:pPr>
          </w:p>
        </w:tc>
        <w:tc>
          <w:tcPr>
            <w:tcW w:w="3527" w:type="dxa"/>
          </w:tcPr>
          <w:p>
            <w:pPr>
              <w:spacing w:line="240" w:lineRule="exact"/>
              <w:rPr>
                <w:color w:val="auto"/>
                <w:lang w:eastAsia="zh-CN"/>
              </w:rPr>
            </w:pPr>
          </w:p>
        </w:tc>
        <w:tc>
          <w:tcPr>
            <w:tcW w:w="116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1056" w:type="dxa"/>
            <w:vMerge w:val="continue"/>
            <w:tcBorders>
              <w:top w:val="nil"/>
              <w:bottom w:val="nil"/>
            </w:tcBorders>
          </w:tcPr>
          <w:p>
            <w:pPr>
              <w:spacing w:line="240" w:lineRule="exact"/>
              <w:rPr>
                <w:color w:val="auto"/>
                <w:lang w:eastAsia="zh-CN"/>
              </w:rPr>
            </w:pPr>
          </w:p>
        </w:tc>
        <w:tc>
          <w:tcPr>
            <w:tcW w:w="839" w:type="dxa"/>
            <w:vMerge w:val="continue"/>
            <w:tcBorders>
              <w:top w:val="nil"/>
            </w:tcBorders>
          </w:tcPr>
          <w:p>
            <w:pPr>
              <w:spacing w:line="240" w:lineRule="exact"/>
              <w:rPr>
                <w:color w:val="auto"/>
                <w:lang w:eastAsia="zh-CN"/>
              </w:rPr>
            </w:pPr>
          </w:p>
        </w:tc>
        <w:tc>
          <w:tcPr>
            <w:tcW w:w="694" w:type="dxa"/>
            <w:vMerge w:val="continue"/>
            <w:tcBorders>
              <w:top w:val="nil"/>
            </w:tcBorders>
          </w:tcPr>
          <w:p>
            <w:pPr>
              <w:spacing w:line="240" w:lineRule="exact"/>
              <w:rPr>
                <w:color w:val="auto"/>
                <w:lang w:eastAsia="zh-CN"/>
              </w:rPr>
            </w:pPr>
          </w:p>
        </w:tc>
        <w:tc>
          <w:tcPr>
            <w:tcW w:w="1055" w:type="dxa"/>
          </w:tcPr>
          <w:p>
            <w:pPr>
              <w:pStyle w:val="8"/>
              <w:spacing w:before="0" w:line="240" w:lineRule="exact"/>
              <w:ind w:left="12" w:right="14" w:firstLine="2"/>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3</w:t>
            </w:r>
            <w:r>
              <w:rPr>
                <w:color w:val="auto"/>
                <w:spacing w:val="-5"/>
                <w:lang w:eastAsia="zh-CN"/>
              </w:rPr>
              <w:t>）康复治</w:t>
            </w:r>
            <w:r>
              <w:rPr>
                <w:color w:val="auto"/>
                <w:spacing w:val="14"/>
                <w:lang w:eastAsia="zh-CN"/>
              </w:rPr>
              <w:t>疗师中具有副高级别及以上专业技术职务任职资格人数占康复治疗师</w:t>
            </w:r>
            <w:r>
              <w:rPr>
                <w:color w:val="auto"/>
                <w:spacing w:val="9"/>
                <w:lang w:eastAsia="zh-CN"/>
              </w:rPr>
              <w:t>总数的比例</w:t>
            </w:r>
          </w:p>
        </w:tc>
        <w:tc>
          <w:tcPr>
            <w:tcW w:w="130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25" w:right="12" w:firstLine="18"/>
              <w:jc w:val="both"/>
              <w:rPr>
                <w:color w:val="auto"/>
                <w:lang w:eastAsia="zh-CN"/>
              </w:rPr>
            </w:pPr>
            <w:r>
              <w:rPr>
                <w:color w:val="auto"/>
                <w:spacing w:val="16"/>
                <w:lang w:eastAsia="zh-CN"/>
              </w:rPr>
              <w:t>医院康复治疗师中具有副高级别及以</w:t>
            </w:r>
            <w:r>
              <w:rPr>
                <w:color w:val="auto"/>
                <w:spacing w:val="17"/>
                <w:lang w:eastAsia="zh-CN"/>
              </w:rPr>
              <w:t>上专业技术职务任职资格人数占同期</w:t>
            </w:r>
            <w:r>
              <w:rPr>
                <w:color w:val="auto"/>
                <w:spacing w:val="8"/>
                <w:lang w:eastAsia="zh-CN"/>
              </w:rPr>
              <w:t>医院在岗的康复治疗师总数的比例。</w:t>
            </w:r>
          </w:p>
        </w:tc>
        <w:tc>
          <w:tcPr>
            <w:tcW w:w="3527" w:type="dxa"/>
          </w:tcPr>
          <w:p>
            <w:pPr>
              <w:pStyle w:val="8"/>
              <w:spacing w:before="0" w:line="240" w:lineRule="exact"/>
              <w:ind w:left="32" w:right="9" w:hanging="1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医院具有副高级别及以上职称的康复</w:t>
            </w:r>
            <w:r>
              <w:rPr>
                <w:color w:val="auto"/>
                <w:spacing w:val="10"/>
                <w:lang w:eastAsia="zh-CN"/>
              </w:rPr>
              <w:t>治疗师人数</w:t>
            </w:r>
            <w:r>
              <w:rPr>
                <w:rFonts w:ascii="Times New Roman" w:hAnsi="Times New Roman" w:eastAsia="Times New Roman" w:cs="Times New Roman"/>
                <w:color w:val="auto"/>
                <w:spacing w:val="10"/>
                <w:lang w:eastAsia="zh-CN"/>
              </w:rPr>
              <w:t>/</w:t>
            </w:r>
            <w:r>
              <w:rPr>
                <w:color w:val="auto"/>
                <w:spacing w:val="10"/>
                <w:lang w:eastAsia="zh-CN"/>
              </w:rPr>
              <w:t>同期医院在岗的康复治疗师</w:t>
            </w:r>
            <w:r>
              <w:rPr>
                <w:color w:val="auto"/>
                <w:lang w:eastAsia="zh-CN"/>
              </w:rPr>
              <w:t>总数</w:t>
            </w:r>
            <w:r>
              <w:rPr>
                <w:rFonts w:ascii="Times New Roman" w:hAnsi="Times New Roman" w:eastAsia="Times New Roman" w:cs="Times New Roman"/>
                <w:color w:val="auto"/>
                <w:lang w:eastAsia="zh-CN"/>
              </w:rPr>
              <w:t>×100%</w:t>
            </w:r>
          </w:p>
        </w:tc>
        <w:tc>
          <w:tcPr>
            <w:tcW w:w="116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continue"/>
            <w:tcBorders>
              <w:top w:val="nil"/>
              <w:bottom w:val="nil"/>
            </w:tcBorders>
          </w:tcPr>
          <w:p>
            <w:pPr>
              <w:spacing w:line="240" w:lineRule="exact"/>
              <w:rPr>
                <w:color w:val="auto"/>
              </w:rPr>
            </w:pPr>
          </w:p>
        </w:tc>
        <w:tc>
          <w:tcPr>
            <w:tcW w:w="2588" w:type="dxa"/>
            <w:gridSpan w:val="3"/>
          </w:tcPr>
          <w:p>
            <w:pPr>
              <w:pStyle w:val="8"/>
              <w:spacing w:before="0" w:line="240" w:lineRule="exact"/>
              <w:ind w:left="22" w:right="14" w:hanging="8"/>
              <w:rPr>
                <w:color w:val="auto"/>
                <w:lang w:eastAsia="zh-CN"/>
              </w:rPr>
            </w:pPr>
            <w:r>
              <w:rPr>
                <w:color w:val="auto"/>
                <w:spacing w:val="2"/>
                <w:lang w:eastAsia="zh-CN"/>
              </w:rPr>
              <w:t>（二）医院感染管理专职人员</w:t>
            </w:r>
            <w:r>
              <w:rPr>
                <w:color w:val="auto"/>
                <w:spacing w:val="8"/>
                <w:lang w:eastAsia="zh-CN"/>
              </w:rPr>
              <w:t>数与实际开放床位数比</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1:X</w:t>
            </w:r>
            <w:r>
              <w:rPr>
                <w:color w:val="auto"/>
                <w:spacing w:val="-9"/>
              </w:rPr>
              <w:t>）</w:t>
            </w:r>
          </w:p>
        </w:tc>
        <w:tc>
          <w:tcPr>
            <w:tcW w:w="3371" w:type="dxa"/>
          </w:tcPr>
          <w:p>
            <w:pPr>
              <w:pStyle w:val="8"/>
              <w:spacing w:before="0" w:line="240" w:lineRule="exact"/>
              <w:ind w:left="34" w:right="12" w:firstLine="9"/>
              <w:rPr>
                <w:color w:val="auto"/>
                <w:lang w:eastAsia="zh-CN"/>
              </w:rPr>
            </w:pPr>
            <w:r>
              <w:rPr>
                <w:color w:val="auto"/>
                <w:spacing w:val="16"/>
                <w:lang w:eastAsia="zh-CN"/>
              </w:rPr>
              <w:t>医院感染管理专职人员总数与同期全</w:t>
            </w:r>
            <w:r>
              <w:rPr>
                <w:color w:val="auto"/>
                <w:spacing w:val="7"/>
                <w:lang w:eastAsia="zh-CN"/>
              </w:rPr>
              <w:t>院实际开放床位数之比。</w:t>
            </w:r>
          </w:p>
        </w:tc>
        <w:tc>
          <w:tcPr>
            <w:tcW w:w="3527" w:type="dxa"/>
          </w:tcPr>
          <w:p>
            <w:pPr>
              <w:pStyle w:val="8"/>
              <w:spacing w:before="0" w:line="240" w:lineRule="exact"/>
              <w:ind w:left="31" w:right="9" w:hanging="1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医院感染管理专职人员总数</w:t>
            </w:r>
            <w:r>
              <w:rPr>
                <w:rFonts w:ascii="Times New Roman" w:hAnsi="Times New Roman" w:eastAsia="Times New Roman" w:cs="Times New Roman"/>
                <w:color w:val="auto"/>
                <w:spacing w:val="16"/>
                <w:lang w:eastAsia="zh-CN"/>
              </w:rPr>
              <w:t>/</w:t>
            </w:r>
            <w:r>
              <w:rPr>
                <w:color w:val="auto"/>
                <w:spacing w:val="16"/>
                <w:lang w:eastAsia="zh-CN"/>
              </w:rPr>
              <w:t>同期全院</w:t>
            </w:r>
            <w:r>
              <w:rPr>
                <w:color w:val="auto"/>
                <w:spacing w:val="7"/>
                <w:lang w:eastAsia="zh-CN"/>
              </w:rPr>
              <w:t>实际开放床位数</w:t>
            </w:r>
          </w:p>
        </w:tc>
        <w:tc>
          <w:tcPr>
            <w:tcW w:w="1167" w:type="dxa"/>
          </w:tcPr>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56" w:type="dxa"/>
            <w:vMerge w:val="continue"/>
            <w:tcBorders>
              <w:top w:val="nil"/>
            </w:tcBorders>
          </w:tcPr>
          <w:p>
            <w:pPr>
              <w:spacing w:line="240" w:lineRule="exact"/>
              <w:rPr>
                <w:color w:val="auto"/>
              </w:rPr>
            </w:pPr>
          </w:p>
        </w:tc>
        <w:tc>
          <w:tcPr>
            <w:tcW w:w="2588" w:type="dxa"/>
            <w:gridSpan w:val="3"/>
          </w:tcPr>
          <w:p>
            <w:pPr>
              <w:pStyle w:val="8"/>
              <w:spacing w:before="0" w:line="240" w:lineRule="exact"/>
              <w:ind w:left="22" w:right="14" w:hanging="8"/>
              <w:rPr>
                <w:color w:val="auto"/>
                <w:lang w:eastAsia="zh-CN"/>
              </w:rPr>
            </w:pPr>
            <w:r>
              <w:rPr>
                <w:color w:val="auto"/>
                <w:spacing w:val="6"/>
                <w:lang w:eastAsia="zh-CN"/>
              </w:rPr>
              <w:t>（三）药学专业技术人员数与</w:t>
            </w:r>
            <w:r>
              <w:rPr>
                <w:color w:val="auto"/>
                <w:spacing w:val="8"/>
                <w:lang w:eastAsia="zh-CN"/>
              </w:rPr>
              <w:t>卫生专业技术人员数比</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26" w:right="12" w:firstLine="5"/>
              <w:rPr>
                <w:color w:val="auto"/>
                <w:lang w:eastAsia="zh-CN"/>
              </w:rPr>
            </w:pPr>
            <w:r>
              <w:rPr>
                <w:color w:val="auto"/>
                <w:spacing w:val="17"/>
                <w:lang w:eastAsia="zh-CN"/>
              </w:rPr>
              <w:t>药学专业技术人员数占同期医疗机构</w:t>
            </w:r>
            <w:r>
              <w:rPr>
                <w:color w:val="auto"/>
                <w:spacing w:val="8"/>
                <w:lang w:eastAsia="zh-CN"/>
              </w:rPr>
              <w:t>卫生专业技术人员总数的比例。</w:t>
            </w:r>
          </w:p>
        </w:tc>
        <w:tc>
          <w:tcPr>
            <w:tcW w:w="3527" w:type="dxa"/>
          </w:tcPr>
          <w:p>
            <w:pPr>
              <w:pStyle w:val="8"/>
              <w:spacing w:before="0" w:line="240" w:lineRule="exact"/>
              <w:ind w:left="33" w:right="11" w:hanging="1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医院药学专业技术人员数</w:t>
            </w:r>
            <w:r>
              <w:rPr>
                <w:rFonts w:ascii="Times New Roman" w:hAnsi="Times New Roman" w:eastAsia="Times New Roman" w:cs="Times New Roman"/>
                <w:color w:val="auto"/>
                <w:spacing w:val="16"/>
                <w:lang w:eastAsia="zh-CN"/>
              </w:rPr>
              <w:t>/</w:t>
            </w:r>
            <w:r>
              <w:rPr>
                <w:color w:val="auto"/>
                <w:spacing w:val="16"/>
                <w:lang w:eastAsia="zh-CN"/>
              </w:rPr>
              <w:t>同期全院卫</w:t>
            </w:r>
            <w:r>
              <w:rPr>
                <w:color w:val="auto"/>
                <w:spacing w:val="4"/>
                <w:lang w:eastAsia="zh-CN"/>
              </w:rPr>
              <w:t>生专业技术人员数</w:t>
            </w:r>
            <w:r>
              <w:rPr>
                <w:rFonts w:ascii="Times New Roman" w:hAnsi="Times New Roman" w:eastAsia="Times New Roman" w:cs="Times New Roman"/>
                <w:color w:val="auto"/>
                <w:spacing w:val="4"/>
                <w:lang w:eastAsia="zh-CN"/>
              </w:rPr>
              <w:t>×100%</w:t>
            </w:r>
          </w:p>
        </w:tc>
        <w:tc>
          <w:tcPr>
            <w:tcW w:w="1167" w:type="dxa"/>
          </w:tcPr>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56" w:type="dxa"/>
            <w:vMerge w:val="restart"/>
            <w:tcBorders>
              <w:bottom w:val="nil"/>
            </w:tcBorders>
          </w:tcPr>
          <w:p>
            <w:pPr>
              <w:pStyle w:val="8"/>
              <w:spacing w:before="0" w:line="240" w:lineRule="exact"/>
              <w:ind w:left="35" w:right="16" w:firstLine="2"/>
              <w:rPr>
                <w:color w:val="auto"/>
                <w:lang w:eastAsia="zh-CN"/>
              </w:rPr>
            </w:pPr>
            <w:r>
              <w:rPr>
                <w:color w:val="auto"/>
                <w:spacing w:val="9"/>
                <w:lang w:eastAsia="zh-CN"/>
              </w:rPr>
              <w:t>三、相关科</w:t>
            </w:r>
            <w:r>
              <w:rPr>
                <w:color w:val="auto"/>
                <w:spacing w:val="5"/>
                <w:lang w:eastAsia="zh-CN"/>
              </w:rPr>
              <w:t>室资源配置</w:t>
            </w:r>
          </w:p>
        </w:tc>
        <w:tc>
          <w:tcPr>
            <w:tcW w:w="839" w:type="dxa"/>
            <w:vMerge w:val="restart"/>
            <w:tcBorders>
              <w:bottom w:val="nil"/>
            </w:tcBorders>
          </w:tcPr>
          <w:p>
            <w:pPr>
              <w:pStyle w:val="8"/>
              <w:spacing w:before="0" w:line="240" w:lineRule="exact"/>
              <w:ind w:left="23" w:right="15" w:hanging="9"/>
              <w:rPr>
                <w:color w:val="auto"/>
              </w:rPr>
            </w:pPr>
            <w:r>
              <w:rPr>
                <w:color w:val="auto"/>
                <w:spacing w:val="-3"/>
              </w:rPr>
              <w:t>（一）麻</w:t>
            </w:r>
            <w:r>
              <w:rPr>
                <w:color w:val="auto"/>
                <w:spacing w:val="2"/>
              </w:rPr>
              <w:t>醉科</w:t>
            </w:r>
          </w:p>
        </w:tc>
        <w:tc>
          <w:tcPr>
            <w:tcW w:w="1749" w:type="dxa"/>
            <w:gridSpan w:val="2"/>
          </w:tcPr>
          <w:p>
            <w:pPr>
              <w:pStyle w:val="8"/>
              <w:spacing w:before="0" w:line="240" w:lineRule="exact"/>
              <w:ind w:left="27" w:right="184" w:firstLine="6"/>
              <w:rPr>
                <w:color w:val="auto"/>
                <w:lang w:eastAsia="zh-CN"/>
              </w:rPr>
            </w:pPr>
            <w:r>
              <w:rPr>
                <w:rFonts w:ascii="Times New Roman" w:hAnsi="Times New Roman" w:eastAsia="Times New Roman" w:cs="Times New Roman"/>
                <w:color w:val="auto"/>
                <w:spacing w:val="5"/>
                <w:lang w:eastAsia="zh-CN"/>
              </w:rPr>
              <w:t>1.</w:t>
            </w:r>
            <w:r>
              <w:rPr>
                <w:color w:val="auto"/>
                <w:spacing w:val="5"/>
                <w:lang w:eastAsia="zh-CN"/>
              </w:rPr>
              <w:t>麻醉科医师数与</w:t>
            </w:r>
            <w:r>
              <w:rPr>
                <w:color w:val="auto"/>
                <w:spacing w:val="6"/>
                <w:lang w:eastAsia="zh-CN"/>
              </w:rPr>
              <w:t>手术间数比</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33" w:right="12" w:firstLine="10"/>
              <w:rPr>
                <w:color w:val="auto"/>
                <w:lang w:eastAsia="zh-CN"/>
              </w:rPr>
            </w:pPr>
            <w:r>
              <w:rPr>
                <w:color w:val="auto"/>
                <w:spacing w:val="16"/>
                <w:lang w:eastAsia="zh-CN"/>
              </w:rPr>
              <w:t>医院麻醉科医师总数与同期医院手术</w:t>
            </w:r>
            <w:r>
              <w:rPr>
                <w:color w:val="auto"/>
                <w:spacing w:val="4"/>
                <w:lang w:eastAsia="zh-CN"/>
              </w:rPr>
              <w:t>室间数之比。</w:t>
            </w:r>
          </w:p>
        </w:tc>
        <w:tc>
          <w:tcPr>
            <w:tcW w:w="3527" w:type="dxa"/>
          </w:tcPr>
          <w:p>
            <w:pPr>
              <w:pStyle w:val="8"/>
              <w:spacing w:before="0" w:line="240" w:lineRule="exact"/>
              <w:ind w:left="35" w:right="11" w:hanging="18"/>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医院注册的麻醉科在岗医师数</w:t>
            </w:r>
            <w:r>
              <w:rPr>
                <w:rFonts w:ascii="Times New Roman" w:hAnsi="Times New Roman" w:eastAsia="Times New Roman" w:cs="Times New Roman"/>
                <w:color w:val="auto"/>
                <w:spacing w:val="16"/>
                <w:lang w:eastAsia="zh-CN"/>
              </w:rPr>
              <w:t>/</w:t>
            </w:r>
            <w:r>
              <w:rPr>
                <w:color w:val="auto"/>
                <w:spacing w:val="16"/>
                <w:lang w:eastAsia="zh-CN"/>
              </w:rPr>
              <w:t>同期医</w:t>
            </w:r>
            <w:r>
              <w:rPr>
                <w:color w:val="auto"/>
                <w:spacing w:val="6"/>
                <w:lang w:eastAsia="zh-CN"/>
              </w:rPr>
              <w:t>院手术室间数</w:t>
            </w:r>
          </w:p>
        </w:tc>
        <w:tc>
          <w:tcPr>
            <w:tcW w:w="1167" w:type="dxa"/>
          </w:tcPr>
          <w:p>
            <w:pPr>
              <w:spacing w:line="240" w:lineRule="exact"/>
              <w:rPr>
                <w:color w:val="auto"/>
                <w:lang w:eastAsia="zh-CN"/>
              </w:rPr>
            </w:pPr>
          </w:p>
          <w:p>
            <w:pPr>
              <w:pStyle w:val="8"/>
              <w:spacing w:before="0" w:line="240" w:lineRule="exact"/>
              <w:ind w:left="194"/>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1749" w:type="dxa"/>
            <w:gridSpan w:val="2"/>
          </w:tcPr>
          <w:p>
            <w:pPr>
              <w:pStyle w:val="8"/>
              <w:spacing w:before="0" w:line="240" w:lineRule="exact"/>
              <w:ind w:left="48" w:right="134" w:hanging="33"/>
              <w:jc w:val="both"/>
              <w:rPr>
                <w:color w:val="auto"/>
                <w:lang w:eastAsia="zh-CN"/>
              </w:rPr>
            </w:pPr>
            <w:r>
              <w:rPr>
                <w:rFonts w:ascii="Times New Roman" w:hAnsi="Times New Roman" w:eastAsia="Times New Roman" w:cs="Times New Roman"/>
                <w:color w:val="auto"/>
                <w:spacing w:val="7"/>
                <w:lang w:eastAsia="zh-CN"/>
              </w:rPr>
              <w:t>2.</w:t>
            </w:r>
            <w:r>
              <w:rPr>
                <w:color w:val="auto"/>
                <w:spacing w:val="7"/>
                <w:lang w:eastAsia="zh-CN"/>
              </w:rPr>
              <w:t>麻醉科医师数与</w:t>
            </w:r>
            <w:r>
              <w:rPr>
                <w:color w:val="auto"/>
                <w:spacing w:val="5"/>
                <w:lang w:eastAsia="zh-CN"/>
              </w:rPr>
              <w:t>日均全麻手术台次</w:t>
            </w:r>
            <w:r>
              <w:rPr>
                <w:color w:val="auto"/>
                <w:lang w:eastAsia="zh-CN"/>
              </w:rPr>
              <w:t>比</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1:X</w:t>
            </w:r>
            <w:r>
              <w:rPr>
                <w:color w:val="auto"/>
                <w:spacing w:val="-9"/>
              </w:rPr>
              <w:t>）</w:t>
            </w:r>
          </w:p>
        </w:tc>
        <w:tc>
          <w:tcPr>
            <w:tcW w:w="3371" w:type="dxa"/>
          </w:tcPr>
          <w:p>
            <w:pPr>
              <w:pStyle w:val="8"/>
              <w:spacing w:before="0" w:line="240" w:lineRule="exact"/>
              <w:ind w:left="44" w:right="12"/>
              <w:rPr>
                <w:color w:val="auto"/>
                <w:lang w:eastAsia="zh-CN"/>
              </w:rPr>
            </w:pPr>
            <w:r>
              <w:rPr>
                <w:color w:val="auto"/>
                <w:spacing w:val="16"/>
                <w:lang w:eastAsia="zh-CN"/>
              </w:rPr>
              <w:t>医院注册的麻醉科在岗医师数与同期</w:t>
            </w:r>
            <w:r>
              <w:rPr>
                <w:color w:val="auto"/>
                <w:spacing w:val="6"/>
                <w:lang w:eastAsia="zh-CN"/>
              </w:rPr>
              <w:t>医院日均全麻手术台次之比。</w:t>
            </w:r>
          </w:p>
        </w:tc>
        <w:tc>
          <w:tcPr>
            <w:tcW w:w="3527" w:type="dxa"/>
          </w:tcPr>
          <w:p>
            <w:pPr>
              <w:pStyle w:val="8"/>
              <w:spacing w:before="0" w:line="240" w:lineRule="exact"/>
              <w:ind w:left="35" w:right="11" w:hanging="18"/>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医院注册的麻醉科在岗医师数</w:t>
            </w:r>
            <w:r>
              <w:rPr>
                <w:rFonts w:ascii="Times New Roman" w:hAnsi="Times New Roman" w:eastAsia="Times New Roman" w:cs="Times New Roman"/>
                <w:color w:val="auto"/>
                <w:spacing w:val="16"/>
                <w:lang w:eastAsia="zh-CN"/>
              </w:rPr>
              <w:t>/</w:t>
            </w:r>
            <w:r>
              <w:rPr>
                <w:color w:val="auto"/>
                <w:spacing w:val="16"/>
                <w:lang w:eastAsia="zh-CN"/>
              </w:rPr>
              <w:t>同期医</w:t>
            </w:r>
            <w:r>
              <w:rPr>
                <w:color w:val="auto"/>
                <w:spacing w:val="7"/>
                <w:lang w:eastAsia="zh-CN"/>
              </w:rPr>
              <w:t>院日均全麻手术台次数</w:t>
            </w:r>
          </w:p>
        </w:tc>
        <w:tc>
          <w:tcPr>
            <w:tcW w:w="1167" w:type="dxa"/>
          </w:tcPr>
          <w:p>
            <w:pPr>
              <w:spacing w:line="240" w:lineRule="exact"/>
              <w:rPr>
                <w:color w:val="auto"/>
                <w:lang w:eastAsia="zh-CN"/>
              </w:rPr>
            </w:pPr>
          </w:p>
          <w:p>
            <w:pPr>
              <w:pStyle w:val="8"/>
              <w:spacing w:before="0" w:line="240" w:lineRule="exact"/>
              <w:ind w:left="194"/>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056" w:type="dxa"/>
            <w:vMerge w:val="continue"/>
            <w:tcBorders>
              <w:top w:val="nil"/>
              <w:bottom w:val="nil"/>
            </w:tcBorders>
          </w:tcPr>
          <w:p>
            <w:pPr>
              <w:spacing w:line="240" w:lineRule="exact"/>
              <w:rPr>
                <w:color w:val="auto"/>
              </w:rPr>
            </w:pPr>
          </w:p>
        </w:tc>
        <w:tc>
          <w:tcPr>
            <w:tcW w:w="839" w:type="dxa"/>
            <w:vMerge w:val="restart"/>
            <w:tcBorders>
              <w:bottom w:val="nil"/>
            </w:tcBorders>
          </w:tcPr>
          <w:p>
            <w:pPr>
              <w:pStyle w:val="8"/>
              <w:spacing w:before="0" w:line="240" w:lineRule="exact"/>
              <w:ind w:left="15" w:right="24" w:hanging="1"/>
              <w:jc w:val="both"/>
              <w:rPr>
                <w:color w:val="auto"/>
                <w:lang w:eastAsia="zh-CN"/>
              </w:rPr>
            </w:pPr>
            <w:r>
              <w:rPr>
                <w:color w:val="auto"/>
                <w:spacing w:val="-4"/>
                <w:lang w:eastAsia="zh-CN"/>
              </w:rPr>
              <w:t>（二）康</w:t>
            </w:r>
            <w:r>
              <w:rPr>
                <w:color w:val="auto"/>
                <w:spacing w:val="8"/>
                <w:lang w:eastAsia="zh-CN"/>
              </w:rPr>
              <w:t>复治疗场</w:t>
            </w:r>
            <w:r>
              <w:rPr>
                <w:color w:val="auto"/>
                <w:spacing w:val="7"/>
                <w:lang w:eastAsia="zh-CN"/>
              </w:rPr>
              <w:t>地情况</w:t>
            </w:r>
          </w:p>
        </w:tc>
        <w:tc>
          <w:tcPr>
            <w:tcW w:w="1749" w:type="dxa"/>
            <w:gridSpan w:val="2"/>
          </w:tcPr>
          <w:p>
            <w:pPr>
              <w:spacing w:line="240" w:lineRule="exact"/>
              <w:rPr>
                <w:color w:val="auto"/>
                <w:lang w:eastAsia="zh-CN"/>
              </w:rPr>
            </w:pPr>
          </w:p>
          <w:p>
            <w:pPr>
              <w:pStyle w:val="8"/>
              <w:spacing w:before="0" w:line="240" w:lineRule="exact"/>
              <w:ind w:left="34"/>
              <w:rPr>
                <w:color w:val="auto"/>
              </w:rPr>
            </w:pPr>
            <w:r>
              <w:rPr>
                <w:rFonts w:ascii="Times New Roman" w:hAnsi="Times New Roman" w:eastAsia="Times New Roman" w:cs="Times New Roman"/>
                <w:color w:val="auto"/>
                <w:spacing w:val="5"/>
              </w:rPr>
              <w:t>1.</w:t>
            </w:r>
            <w:r>
              <w:rPr>
                <w:color w:val="auto"/>
                <w:spacing w:val="5"/>
              </w:rPr>
              <w:t>每床建筑面积</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pStyle w:val="8"/>
              <w:spacing w:before="0" w:line="240" w:lineRule="exact"/>
              <w:ind w:left="103"/>
              <w:rPr>
                <w:color w:val="auto"/>
              </w:rPr>
            </w:pPr>
            <w:r>
              <w:rPr>
                <w:color w:val="auto"/>
                <w:spacing w:val="6"/>
                <w:position w:val="1"/>
              </w:rPr>
              <w:t>平方米</w:t>
            </w:r>
            <w:r>
              <w:rPr>
                <w:rFonts w:ascii="Times New Roman" w:hAnsi="Times New Roman" w:eastAsia="Times New Roman" w:cs="Times New Roman"/>
                <w:color w:val="auto"/>
                <w:spacing w:val="6"/>
                <w:position w:val="1"/>
              </w:rPr>
              <w:t>/</w:t>
            </w:r>
            <w:r>
              <w:rPr>
                <w:color w:val="auto"/>
                <w:spacing w:val="6"/>
                <w:position w:val="1"/>
              </w:rPr>
              <w:t>床</w:t>
            </w:r>
          </w:p>
        </w:tc>
        <w:tc>
          <w:tcPr>
            <w:tcW w:w="3371" w:type="dxa"/>
          </w:tcPr>
          <w:p>
            <w:pPr>
              <w:pStyle w:val="8"/>
              <w:spacing w:before="0" w:line="240" w:lineRule="exact"/>
              <w:ind w:left="20"/>
              <w:rPr>
                <w:color w:val="auto"/>
              </w:rPr>
            </w:pPr>
            <w:r>
              <w:rPr>
                <w:color w:val="auto"/>
                <w:spacing w:val="7"/>
              </w:rPr>
              <w:t>每床建筑面积。</w:t>
            </w:r>
          </w:p>
        </w:tc>
        <w:tc>
          <w:tcPr>
            <w:tcW w:w="3527" w:type="dxa"/>
          </w:tcPr>
          <w:p>
            <w:pPr>
              <w:pStyle w:val="8"/>
              <w:spacing w:before="0" w:line="240" w:lineRule="exact"/>
              <w:ind w:left="26" w:right="9" w:hanging="9"/>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医院建筑面积</w:t>
            </w:r>
            <w:r>
              <w:rPr>
                <w:rFonts w:ascii="Times New Roman" w:hAnsi="Times New Roman" w:eastAsia="Times New Roman" w:cs="Times New Roman"/>
                <w:color w:val="auto"/>
                <w:spacing w:val="16"/>
                <w:lang w:eastAsia="zh-CN"/>
              </w:rPr>
              <w:t>/</w:t>
            </w:r>
            <w:r>
              <w:rPr>
                <w:color w:val="auto"/>
                <w:spacing w:val="16"/>
                <w:lang w:eastAsia="zh-CN"/>
              </w:rPr>
              <w:t>同期医院实际开放床位</w:t>
            </w:r>
            <w:r>
              <w:rPr>
                <w:color w:val="auto"/>
                <w:lang w:eastAsia="zh-CN"/>
              </w:rPr>
              <w:t>数</w:t>
            </w:r>
          </w:p>
        </w:tc>
        <w:tc>
          <w:tcPr>
            <w:tcW w:w="1167" w:type="dxa"/>
          </w:tcPr>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056" w:type="dxa"/>
            <w:vMerge w:val="continue"/>
            <w:tcBorders>
              <w:top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1749" w:type="dxa"/>
            <w:gridSpan w:val="2"/>
          </w:tcPr>
          <w:p>
            <w:pPr>
              <w:pStyle w:val="8"/>
              <w:spacing w:before="0" w:line="240" w:lineRule="exact"/>
              <w:ind w:left="27" w:right="184" w:hanging="12"/>
              <w:rPr>
                <w:color w:val="auto"/>
              </w:rPr>
            </w:pPr>
            <w:r>
              <w:rPr>
                <w:rFonts w:ascii="Times New Roman" w:hAnsi="Times New Roman" w:eastAsia="Times New Roman" w:cs="Times New Roman"/>
                <w:color w:val="auto"/>
                <w:spacing w:val="7"/>
              </w:rPr>
              <w:t>2.</w:t>
            </w:r>
            <w:r>
              <w:rPr>
                <w:color w:val="auto"/>
                <w:spacing w:val="7"/>
              </w:rPr>
              <w:t>病房每床净使用</w:t>
            </w:r>
            <w:r>
              <w:rPr>
                <w:color w:val="auto"/>
              </w:rPr>
              <w:t>面积</w:t>
            </w:r>
          </w:p>
        </w:tc>
        <w:tc>
          <w:tcPr>
            <w:tcW w:w="1307" w:type="dxa"/>
          </w:tcPr>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pStyle w:val="8"/>
              <w:spacing w:before="0" w:line="240" w:lineRule="exact"/>
              <w:ind w:left="103"/>
              <w:rPr>
                <w:color w:val="auto"/>
              </w:rPr>
            </w:pPr>
            <w:r>
              <w:rPr>
                <w:color w:val="auto"/>
                <w:spacing w:val="6"/>
                <w:position w:val="1"/>
              </w:rPr>
              <w:t>平方米</w:t>
            </w:r>
            <w:r>
              <w:rPr>
                <w:rFonts w:ascii="Times New Roman" w:hAnsi="Times New Roman" w:eastAsia="Times New Roman" w:cs="Times New Roman"/>
                <w:color w:val="auto"/>
                <w:spacing w:val="6"/>
                <w:position w:val="1"/>
              </w:rPr>
              <w:t>/</w:t>
            </w:r>
            <w:r>
              <w:rPr>
                <w:color w:val="auto"/>
                <w:spacing w:val="6"/>
                <w:position w:val="1"/>
              </w:rPr>
              <w:t>床</w:t>
            </w:r>
          </w:p>
        </w:tc>
        <w:tc>
          <w:tcPr>
            <w:tcW w:w="3371" w:type="dxa"/>
          </w:tcPr>
          <w:p>
            <w:pPr>
              <w:pStyle w:val="8"/>
              <w:spacing w:before="0" w:line="240" w:lineRule="exact"/>
              <w:ind w:left="22"/>
              <w:rPr>
                <w:color w:val="auto"/>
                <w:lang w:eastAsia="zh-CN"/>
              </w:rPr>
            </w:pPr>
            <w:r>
              <w:rPr>
                <w:color w:val="auto"/>
                <w:spacing w:val="8"/>
                <w:lang w:eastAsia="zh-CN"/>
              </w:rPr>
              <w:t>病房每床净使用面积。</w:t>
            </w:r>
          </w:p>
        </w:tc>
        <w:tc>
          <w:tcPr>
            <w:tcW w:w="3527" w:type="dxa"/>
          </w:tcPr>
          <w:p>
            <w:pPr>
              <w:pStyle w:val="8"/>
              <w:spacing w:before="0" w:line="240" w:lineRule="exact"/>
              <w:ind w:left="22" w:right="9" w:hanging="5"/>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病房实际使用面积</w:t>
            </w:r>
            <w:r>
              <w:rPr>
                <w:rFonts w:ascii="Times New Roman" w:hAnsi="Times New Roman" w:eastAsia="Times New Roman" w:cs="Times New Roman"/>
                <w:color w:val="auto"/>
                <w:spacing w:val="16"/>
                <w:lang w:eastAsia="zh-CN"/>
              </w:rPr>
              <w:t>/</w:t>
            </w:r>
            <w:r>
              <w:rPr>
                <w:color w:val="auto"/>
                <w:spacing w:val="16"/>
                <w:lang w:eastAsia="zh-CN"/>
              </w:rPr>
              <w:t>同期医院实际开放</w:t>
            </w:r>
            <w:r>
              <w:rPr>
                <w:color w:val="auto"/>
                <w:spacing w:val="6"/>
                <w:lang w:eastAsia="zh-CN"/>
              </w:rPr>
              <w:t>床位数</w:t>
            </w:r>
          </w:p>
        </w:tc>
        <w:tc>
          <w:tcPr>
            <w:tcW w:w="1167" w:type="dxa"/>
          </w:tcPr>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bl>
    <w:p>
      <w:pPr>
        <w:rPr>
          <w:color w:val="auto"/>
        </w:rPr>
      </w:pPr>
    </w:p>
    <w:p>
      <w:pPr>
        <w:rPr>
          <w:color w:val="auto"/>
        </w:rPr>
        <w:sectPr>
          <w:footerReference r:id="rId12"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963"/>
        <w:gridCol w:w="669"/>
        <w:gridCol w:w="1080"/>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2" w:type="dxa"/>
            <w:tcBorders>
              <w:bottom w:val="single" w:color="auto" w:sz="4" w:space="0"/>
            </w:tcBorders>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712" w:type="dxa"/>
            <w:gridSpan w:val="3"/>
            <w:tcBorders>
              <w:bottom w:val="single" w:color="auto" w:sz="4" w:space="0"/>
            </w:tcBorders>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Borders>
              <w:bottom w:val="single" w:color="auto" w:sz="4" w:space="0"/>
            </w:tcBorders>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Borders>
              <w:bottom w:val="single" w:color="auto" w:sz="4" w:space="0"/>
            </w:tcBorders>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Borders>
              <w:bottom w:val="single" w:color="auto" w:sz="4" w:space="0"/>
            </w:tcBorders>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Borders>
              <w:bottom w:val="single" w:color="auto" w:sz="4" w:space="0"/>
            </w:tcBorders>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Borders>
              <w:bottom w:val="single" w:color="auto" w:sz="4" w:space="0"/>
            </w:tcBorders>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932" w:type="dxa"/>
            <w:vMerge w:val="restart"/>
            <w:tcBorders>
              <w:top w:val="single" w:color="auto" w:sz="4" w:space="0"/>
              <w:left w:val="single" w:color="auto" w:sz="4" w:space="0"/>
              <w:bottom w:val="single" w:color="auto" w:sz="4" w:space="0"/>
              <w:right w:val="single" w:color="auto" w:sz="4" w:space="0"/>
            </w:tcBorders>
          </w:tcPr>
          <w:p>
            <w:pPr>
              <w:rPr>
                <w:color w:val="auto"/>
              </w:rPr>
            </w:pPr>
          </w:p>
        </w:tc>
        <w:tc>
          <w:tcPr>
            <w:tcW w:w="963" w:type="dxa"/>
            <w:tcBorders>
              <w:top w:val="single" w:color="auto" w:sz="4" w:space="0"/>
              <w:left w:val="single" w:color="auto" w:sz="4" w:space="0"/>
              <w:bottom w:val="single" w:color="auto" w:sz="4" w:space="0"/>
              <w:right w:val="single" w:color="auto" w:sz="4" w:space="0"/>
            </w:tcBorders>
          </w:tcPr>
          <w:p>
            <w:pPr>
              <w:rPr>
                <w:color w:val="auto"/>
              </w:rPr>
            </w:pPr>
          </w:p>
        </w:tc>
        <w:tc>
          <w:tcPr>
            <w:tcW w:w="1749" w:type="dxa"/>
            <w:gridSpan w:val="2"/>
            <w:tcBorders>
              <w:top w:val="single" w:color="auto" w:sz="4" w:space="0"/>
              <w:left w:val="single" w:color="auto" w:sz="4" w:space="0"/>
              <w:bottom w:val="single" w:color="auto" w:sz="4" w:space="0"/>
              <w:right w:val="single" w:color="auto" w:sz="4" w:space="0"/>
            </w:tcBorders>
          </w:tcPr>
          <w:p>
            <w:pPr>
              <w:pStyle w:val="8"/>
              <w:spacing w:before="198" w:line="249" w:lineRule="auto"/>
              <w:ind w:left="27" w:right="184" w:hanging="8"/>
              <w:rPr>
                <w:color w:val="auto"/>
              </w:rPr>
            </w:pPr>
            <w:r>
              <w:rPr>
                <w:rFonts w:ascii="Times New Roman" w:hAnsi="Times New Roman" w:eastAsia="Times New Roman" w:cs="Times New Roman"/>
                <w:color w:val="auto"/>
                <w:spacing w:val="7"/>
              </w:rPr>
              <w:t>3.</w:t>
            </w:r>
            <w:r>
              <w:rPr>
                <w:color w:val="auto"/>
                <w:spacing w:val="7"/>
              </w:rPr>
              <w:t>康复治疗区域总</w:t>
            </w:r>
            <w:r>
              <w:rPr>
                <w:color w:val="auto"/>
              </w:rPr>
              <w:t>面积</w:t>
            </w:r>
          </w:p>
        </w:tc>
        <w:tc>
          <w:tcPr>
            <w:tcW w:w="1307" w:type="dxa"/>
            <w:tcBorders>
              <w:top w:val="single" w:color="auto" w:sz="4" w:space="0"/>
              <w:left w:val="single" w:color="auto" w:sz="4" w:space="0"/>
              <w:bottom w:val="single" w:color="auto" w:sz="4" w:space="0"/>
              <w:right w:val="single" w:color="auto" w:sz="4" w:space="0"/>
            </w:tcBorders>
          </w:tcPr>
          <w:p>
            <w:pPr>
              <w:pStyle w:val="8"/>
              <w:spacing w:before="58" w:line="256"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75" w:lineRule="auto"/>
              <w:rPr>
                <w:color w:val="auto"/>
                <w:lang w:eastAsia="zh-CN"/>
              </w:rPr>
            </w:pPr>
          </w:p>
          <w:p>
            <w:pPr>
              <w:pStyle w:val="8"/>
              <w:spacing w:before="61" w:line="226" w:lineRule="auto"/>
              <w:ind w:left="230"/>
              <w:rPr>
                <w:color w:val="auto"/>
              </w:rPr>
            </w:pPr>
            <w:r>
              <w:rPr>
                <w:color w:val="auto"/>
                <w:spacing w:val="6"/>
              </w:rPr>
              <w:t>平方米</w:t>
            </w:r>
          </w:p>
        </w:tc>
        <w:tc>
          <w:tcPr>
            <w:tcW w:w="3371" w:type="dxa"/>
            <w:tcBorders>
              <w:top w:val="single" w:color="auto" w:sz="4" w:space="0"/>
              <w:left w:val="single" w:color="auto" w:sz="4" w:space="0"/>
              <w:bottom w:val="single" w:color="auto" w:sz="4" w:space="0"/>
              <w:right w:val="single" w:color="auto" w:sz="4" w:space="0"/>
            </w:tcBorders>
          </w:tcPr>
          <w:p>
            <w:pPr>
              <w:pStyle w:val="8"/>
              <w:spacing w:before="74" w:line="226" w:lineRule="auto"/>
              <w:ind w:left="14"/>
              <w:rPr>
                <w:color w:val="auto"/>
                <w:lang w:eastAsia="zh-CN"/>
              </w:rPr>
            </w:pPr>
            <w:r>
              <w:rPr>
                <w:color w:val="auto"/>
                <w:spacing w:val="8"/>
                <w:lang w:eastAsia="zh-CN"/>
              </w:rPr>
              <w:t>康复治疗区域总面积。</w:t>
            </w:r>
          </w:p>
        </w:tc>
        <w:tc>
          <w:tcPr>
            <w:tcW w:w="3527" w:type="dxa"/>
            <w:tcBorders>
              <w:top w:val="single" w:color="auto" w:sz="4" w:space="0"/>
              <w:left w:val="single" w:color="auto" w:sz="4" w:space="0"/>
              <w:bottom w:val="single" w:color="auto" w:sz="4" w:space="0"/>
              <w:right w:val="single" w:color="auto" w:sz="4" w:space="0"/>
            </w:tcBorders>
          </w:tcPr>
          <w:p>
            <w:pPr>
              <w:pStyle w:val="8"/>
              <w:spacing w:before="74" w:line="226" w:lineRule="auto"/>
              <w:ind w:left="15"/>
              <w:rPr>
                <w:color w:val="auto"/>
                <w:lang w:eastAsia="zh-CN"/>
              </w:rPr>
            </w:pPr>
            <w:r>
              <w:rPr>
                <w:color w:val="auto"/>
                <w:spacing w:val="8"/>
                <w:lang w:eastAsia="zh-CN"/>
              </w:rPr>
              <w:t>康复治疗区域总面积。</w:t>
            </w:r>
          </w:p>
        </w:tc>
        <w:tc>
          <w:tcPr>
            <w:tcW w:w="1167" w:type="dxa"/>
            <w:tcBorders>
              <w:top w:val="single" w:color="auto" w:sz="4" w:space="0"/>
              <w:left w:val="single" w:color="auto" w:sz="4" w:space="0"/>
              <w:bottom w:val="single" w:color="auto" w:sz="4" w:space="0"/>
              <w:right w:val="single" w:color="auto" w:sz="4" w:space="0"/>
            </w:tcBorders>
          </w:tcPr>
          <w:p>
            <w:pPr>
              <w:spacing w:line="275" w:lineRule="auto"/>
              <w:rPr>
                <w:color w:val="auto"/>
                <w:lang w:eastAsia="zh-CN"/>
              </w:rPr>
            </w:pPr>
          </w:p>
          <w:p>
            <w:pPr>
              <w:pStyle w:val="8"/>
              <w:spacing w:before="61"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932"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63" w:type="dxa"/>
            <w:vMerge w:val="restart"/>
            <w:tcBorders>
              <w:top w:val="single" w:color="auto" w:sz="4" w:space="0"/>
              <w:left w:val="single" w:color="auto" w:sz="4" w:space="0"/>
              <w:bottom w:val="single" w:color="auto" w:sz="4" w:space="0"/>
              <w:right w:val="single" w:color="auto" w:sz="4" w:space="0"/>
            </w:tcBorders>
          </w:tcPr>
          <w:p>
            <w:pPr>
              <w:pStyle w:val="8"/>
              <w:spacing w:before="68" w:line="272" w:lineRule="auto"/>
              <w:ind w:left="23" w:right="15" w:hanging="9"/>
              <w:jc w:val="both"/>
              <w:rPr>
                <w:color w:val="auto"/>
                <w:lang w:eastAsia="zh-CN"/>
              </w:rPr>
            </w:pPr>
            <w:r>
              <w:rPr>
                <w:color w:val="auto"/>
                <w:spacing w:val="8"/>
                <w:lang w:eastAsia="zh-CN"/>
              </w:rPr>
              <w:t>（三）康复专科设</w:t>
            </w:r>
            <w:r>
              <w:rPr>
                <w:color w:val="auto"/>
                <w:lang w:eastAsia="zh-CN"/>
              </w:rPr>
              <w:t>置</w:t>
            </w:r>
          </w:p>
          <w:p>
            <w:pPr>
              <w:pStyle w:val="8"/>
              <w:spacing w:before="56" w:line="286" w:lineRule="auto"/>
              <w:ind w:left="15" w:right="15"/>
              <w:rPr>
                <w:color w:val="auto"/>
                <w:lang w:eastAsia="zh-CN"/>
              </w:rPr>
            </w:pPr>
            <w:r>
              <w:rPr>
                <w:rFonts w:hint="eastAsia"/>
                <w:color w:val="auto"/>
                <w:spacing w:val="10"/>
                <w:lang w:eastAsia="zh-CN"/>
              </w:rPr>
              <w:t>（</w:t>
            </w:r>
            <w:r>
              <w:rPr>
                <w:color w:val="auto"/>
                <w:spacing w:val="10"/>
                <w:lang w:eastAsia="zh-CN"/>
              </w:rPr>
              <w:t>该项指标满分按</w:t>
            </w:r>
            <w:r>
              <w:rPr>
                <w:rFonts w:hint="eastAsia"/>
                <w:color w:val="auto"/>
                <w:spacing w:val="10"/>
                <w:lang w:eastAsia="zh-CN"/>
              </w:rPr>
              <w:t>四</w:t>
            </w:r>
            <w:r>
              <w:rPr>
                <w:color w:val="auto"/>
                <w:spacing w:val="10"/>
                <w:lang w:eastAsia="zh-CN"/>
              </w:rPr>
              <w:t>个专科设置赋值，以下</w:t>
            </w:r>
            <w:r>
              <w:rPr>
                <w:rFonts w:hint="eastAsia"/>
                <w:color w:val="auto"/>
                <w:spacing w:val="10"/>
                <w:lang w:eastAsia="zh-CN"/>
              </w:rPr>
              <w:t>八</w:t>
            </w:r>
            <w:r>
              <w:rPr>
                <w:color w:val="auto"/>
                <w:spacing w:val="10"/>
                <w:lang w:eastAsia="zh-CN"/>
              </w:rPr>
              <w:t>个专科满足其中</w:t>
            </w:r>
            <w:r>
              <w:rPr>
                <w:rFonts w:hint="eastAsia"/>
                <w:color w:val="auto"/>
                <w:spacing w:val="10"/>
                <w:lang w:eastAsia="zh-CN"/>
              </w:rPr>
              <w:t>四</w:t>
            </w:r>
            <w:r>
              <w:rPr>
                <w:color w:val="auto"/>
                <w:spacing w:val="10"/>
                <w:lang w:eastAsia="zh-CN"/>
              </w:rPr>
              <w:t>个可得满分，超过</w:t>
            </w:r>
            <w:r>
              <w:rPr>
                <w:rFonts w:hint="eastAsia"/>
                <w:color w:val="auto"/>
                <w:spacing w:val="10"/>
                <w:lang w:eastAsia="zh-CN"/>
              </w:rPr>
              <w:t>四</w:t>
            </w:r>
            <w:r>
              <w:rPr>
                <w:color w:val="auto"/>
                <w:spacing w:val="10"/>
                <w:lang w:eastAsia="zh-CN"/>
              </w:rPr>
              <w:t>个不另</w:t>
            </w:r>
            <w:r>
              <w:rPr>
                <w:color w:val="auto"/>
                <w:spacing w:val="4"/>
                <w:lang w:eastAsia="zh-CN"/>
              </w:rPr>
              <w:t>得分。</w:t>
            </w:r>
            <w:r>
              <w:rPr>
                <w:rFonts w:hint="eastAsia"/>
                <w:color w:val="auto"/>
                <w:spacing w:val="4"/>
                <w:lang w:eastAsia="zh-CN"/>
              </w:rPr>
              <w:t>）</w:t>
            </w:r>
          </w:p>
        </w:tc>
        <w:tc>
          <w:tcPr>
            <w:tcW w:w="669" w:type="dxa"/>
            <w:vMerge w:val="restart"/>
            <w:tcBorders>
              <w:top w:val="single" w:color="auto" w:sz="4" w:space="0"/>
              <w:left w:val="single" w:color="auto" w:sz="4" w:space="0"/>
              <w:bottom w:val="single" w:color="auto" w:sz="4" w:space="0"/>
              <w:right w:val="single" w:color="auto" w:sz="4" w:space="0"/>
            </w:tcBorders>
          </w:tcPr>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3"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pStyle w:val="8"/>
              <w:spacing w:before="62" w:line="270" w:lineRule="auto"/>
              <w:ind w:left="27" w:right="52" w:firstLine="6"/>
              <w:jc w:val="both"/>
              <w:rPr>
                <w:color w:val="auto"/>
              </w:rPr>
            </w:pPr>
            <w:r>
              <w:rPr>
                <w:rFonts w:ascii="Times New Roman" w:hAnsi="Times New Roman" w:eastAsia="Times New Roman" w:cs="Times New Roman"/>
                <w:color w:val="auto"/>
                <w:spacing w:val="-5"/>
              </w:rPr>
              <w:t>1.</w:t>
            </w:r>
            <w:r>
              <w:rPr>
                <w:color w:val="auto"/>
                <w:spacing w:val="-5"/>
              </w:rPr>
              <w:t>骨与</w:t>
            </w:r>
            <w:r>
              <w:rPr>
                <w:color w:val="auto"/>
                <w:spacing w:val="4"/>
              </w:rPr>
              <w:t>节康</w:t>
            </w:r>
            <w:r>
              <w:rPr>
                <w:color w:val="auto"/>
              </w:rPr>
              <w:t>复科</w:t>
            </w:r>
          </w:p>
        </w:tc>
        <w:tc>
          <w:tcPr>
            <w:tcW w:w="1080" w:type="dxa"/>
            <w:tcBorders>
              <w:top w:val="single" w:color="auto" w:sz="4" w:space="0"/>
              <w:left w:val="single" w:color="auto" w:sz="4" w:space="0"/>
              <w:bottom w:val="single" w:color="auto" w:sz="4" w:space="0"/>
              <w:right w:val="single" w:color="auto" w:sz="4" w:space="0"/>
            </w:tcBorders>
          </w:tcPr>
          <w:p>
            <w:pPr>
              <w:pStyle w:val="8"/>
              <w:spacing w:before="62" w:line="264" w:lineRule="auto"/>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）骨与关</w:t>
            </w:r>
            <w:r>
              <w:rPr>
                <w:color w:val="auto"/>
                <w:spacing w:val="7"/>
                <w:lang w:eastAsia="zh-CN"/>
              </w:rPr>
              <w:t>节康复科开放床位数占医院实际开放床位数的</w:t>
            </w:r>
            <w:r>
              <w:rPr>
                <w:color w:val="auto"/>
                <w:spacing w:val="4"/>
                <w:lang w:eastAsia="zh-CN"/>
              </w:rPr>
              <w:t>比例</w:t>
            </w:r>
          </w:p>
        </w:tc>
        <w:tc>
          <w:tcPr>
            <w:tcW w:w="1307" w:type="dxa"/>
            <w:tcBorders>
              <w:top w:val="single" w:color="auto" w:sz="4" w:space="0"/>
              <w:left w:val="single" w:color="auto" w:sz="4" w:space="0"/>
              <w:bottom w:val="single" w:color="auto" w:sz="4" w:space="0"/>
              <w:right w:val="single" w:color="auto" w:sz="4" w:space="0"/>
            </w:tcBorders>
          </w:tcPr>
          <w:p>
            <w:pPr>
              <w:spacing w:line="271" w:lineRule="auto"/>
              <w:rPr>
                <w:color w:val="auto"/>
                <w:lang w:eastAsia="zh-CN"/>
              </w:rPr>
            </w:pPr>
          </w:p>
          <w:p>
            <w:pPr>
              <w:spacing w:line="272" w:lineRule="auto"/>
              <w:rPr>
                <w:color w:val="auto"/>
                <w:lang w:eastAsia="zh-CN"/>
              </w:rPr>
            </w:pPr>
          </w:p>
          <w:p>
            <w:pPr>
              <w:pStyle w:val="8"/>
              <w:spacing w:before="62"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71" w:lineRule="auto"/>
              <w:rPr>
                <w:color w:val="auto"/>
                <w:lang w:eastAsia="zh-CN"/>
              </w:rPr>
            </w:pPr>
          </w:p>
          <w:p>
            <w:pPr>
              <w:spacing w:line="271" w:lineRule="auto"/>
              <w:rPr>
                <w:color w:val="auto"/>
                <w:lang w:eastAsia="zh-CN"/>
              </w:rPr>
            </w:pPr>
          </w:p>
          <w:p>
            <w:pPr>
              <w:spacing w:line="271" w:lineRule="auto"/>
              <w:rPr>
                <w:color w:val="auto"/>
                <w:lang w:eastAsia="zh-CN"/>
              </w:rPr>
            </w:pPr>
          </w:p>
          <w:p>
            <w:pPr>
              <w:pStyle w:val="8"/>
              <w:spacing w:before="61"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80" w:line="258" w:lineRule="auto"/>
              <w:ind w:left="34" w:right="12"/>
              <w:rPr>
                <w:color w:val="auto"/>
                <w:lang w:eastAsia="zh-CN"/>
              </w:rPr>
            </w:pPr>
            <w:r>
              <w:rPr>
                <w:color w:val="auto"/>
                <w:spacing w:val="17"/>
                <w:lang w:eastAsia="zh-CN"/>
              </w:rPr>
              <w:t>骨与关节康复科开放床位数占同期医</w:t>
            </w:r>
            <w:r>
              <w:rPr>
                <w:color w:val="auto"/>
                <w:spacing w:val="7"/>
                <w:lang w:eastAsia="zh-CN"/>
              </w:rPr>
              <w:t>院实际开放床位数的比例。</w:t>
            </w:r>
          </w:p>
        </w:tc>
        <w:tc>
          <w:tcPr>
            <w:tcW w:w="3527" w:type="dxa"/>
            <w:tcBorders>
              <w:top w:val="single" w:color="auto" w:sz="4" w:space="0"/>
              <w:left w:val="single" w:color="auto" w:sz="4" w:space="0"/>
              <w:bottom w:val="single" w:color="auto" w:sz="4" w:space="0"/>
              <w:right w:val="single" w:color="auto" w:sz="4" w:space="0"/>
            </w:tcBorders>
          </w:tcPr>
          <w:p>
            <w:pPr>
              <w:pStyle w:val="8"/>
              <w:spacing w:before="56" w:line="289" w:lineRule="auto"/>
              <w:ind w:left="31" w:right="9" w:hanging="1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骨与关节康复科开放床位数</w:t>
            </w:r>
            <w:r>
              <w:rPr>
                <w:rFonts w:ascii="Times New Roman" w:hAnsi="Times New Roman" w:eastAsia="Times New Roman" w:cs="Times New Roman"/>
                <w:color w:val="auto"/>
                <w:spacing w:val="16"/>
                <w:lang w:eastAsia="zh-CN"/>
              </w:rPr>
              <w:t>/</w:t>
            </w:r>
            <w:r>
              <w:rPr>
                <w:color w:val="auto"/>
                <w:spacing w:val="16"/>
                <w:lang w:eastAsia="zh-CN"/>
              </w:rPr>
              <w:t>同期医院</w:t>
            </w:r>
            <w:r>
              <w:rPr>
                <w:color w:val="auto"/>
                <w:spacing w:val="4"/>
                <w:lang w:eastAsia="zh-CN"/>
              </w:rPr>
              <w:t>实际开放床位数</w:t>
            </w:r>
            <w:r>
              <w:rPr>
                <w:rFonts w:ascii="Times New Roman" w:hAnsi="Times New Roman" w:eastAsia="Times New Roman" w:cs="Times New Roman"/>
                <w:color w:val="auto"/>
                <w:spacing w:val="4"/>
                <w:lang w:eastAsia="zh-CN"/>
              </w:rPr>
              <w:t>×100%</w:t>
            </w:r>
          </w:p>
        </w:tc>
        <w:tc>
          <w:tcPr>
            <w:tcW w:w="1167" w:type="dxa"/>
            <w:tcBorders>
              <w:top w:val="single" w:color="auto" w:sz="4" w:space="0"/>
              <w:left w:val="single" w:color="auto" w:sz="4" w:space="0"/>
              <w:bottom w:val="single" w:color="auto" w:sz="4" w:space="0"/>
              <w:right w:val="single" w:color="auto" w:sz="4" w:space="0"/>
            </w:tcBorders>
          </w:tcPr>
          <w:p>
            <w:pPr>
              <w:spacing w:line="280" w:lineRule="auto"/>
              <w:rPr>
                <w:color w:val="auto"/>
                <w:lang w:eastAsia="zh-CN"/>
              </w:rPr>
            </w:pPr>
          </w:p>
          <w:p>
            <w:pPr>
              <w:spacing w:line="281" w:lineRule="auto"/>
              <w:rPr>
                <w:color w:val="auto"/>
                <w:lang w:eastAsia="zh-CN"/>
              </w:rPr>
            </w:pPr>
          </w:p>
          <w:p>
            <w:pPr>
              <w:spacing w:line="281"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9" w:hRule="atLeast"/>
        </w:trPr>
        <w:tc>
          <w:tcPr>
            <w:tcW w:w="932"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63"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669"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080" w:type="dxa"/>
            <w:tcBorders>
              <w:top w:val="single" w:color="auto" w:sz="4" w:space="0"/>
              <w:left w:val="single" w:color="auto" w:sz="4" w:space="0"/>
              <w:bottom w:val="single" w:color="auto" w:sz="4" w:space="0"/>
              <w:right w:val="single" w:color="auto" w:sz="4" w:space="0"/>
            </w:tcBorders>
          </w:tcPr>
          <w:p>
            <w:pPr>
              <w:pStyle w:val="8"/>
              <w:spacing w:before="58" w:line="265" w:lineRule="auto"/>
              <w:ind w:left="16" w:right="14" w:hanging="2"/>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）骨与关</w:t>
            </w:r>
            <w:r>
              <w:rPr>
                <w:color w:val="auto"/>
                <w:spacing w:val="8"/>
                <w:lang w:eastAsia="zh-CN"/>
              </w:rPr>
              <w:t>节康复科医师人数与骨与关节康复科开放床位</w:t>
            </w:r>
            <w:r>
              <w:rPr>
                <w:color w:val="auto"/>
                <w:spacing w:val="5"/>
                <w:lang w:eastAsia="zh-CN"/>
              </w:rPr>
              <w:t>数比</w:t>
            </w:r>
          </w:p>
        </w:tc>
        <w:tc>
          <w:tcPr>
            <w:tcW w:w="1307" w:type="dxa"/>
            <w:tcBorders>
              <w:top w:val="single" w:color="auto" w:sz="4" w:space="0"/>
              <w:left w:val="single" w:color="auto" w:sz="4" w:space="0"/>
              <w:bottom w:val="single" w:color="auto" w:sz="4" w:space="0"/>
              <w:right w:val="single" w:color="auto" w:sz="4" w:space="0"/>
            </w:tcBorders>
          </w:tcPr>
          <w:p>
            <w:pPr>
              <w:spacing w:line="271" w:lineRule="auto"/>
              <w:rPr>
                <w:color w:val="auto"/>
                <w:lang w:eastAsia="zh-CN"/>
              </w:rPr>
            </w:pPr>
          </w:p>
          <w:p>
            <w:pPr>
              <w:spacing w:line="272" w:lineRule="auto"/>
              <w:rPr>
                <w:color w:val="auto"/>
                <w:lang w:eastAsia="zh-CN"/>
              </w:rPr>
            </w:pPr>
          </w:p>
          <w:p>
            <w:pPr>
              <w:pStyle w:val="8"/>
              <w:spacing w:before="62"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80" w:lineRule="auto"/>
              <w:rPr>
                <w:color w:val="auto"/>
                <w:lang w:eastAsia="zh-CN"/>
              </w:rPr>
            </w:pPr>
          </w:p>
          <w:p>
            <w:pPr>
              <w:spacing w:line="281" w:lineRule="auto"/>
              <w:rPr>
                <w:color w:val="auto"/>
                <w:lang w:eastAsia="zh-CN"/>
              </w:rPr>
            </w:pPr>
          </w:p>
          <w:p>
            <w:pPr>
              <w:spacing w:line="281"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Borders>
              <w:top w:val="single" w:color="auto" w:sz="4" w:space="0"/>
              <w:left w:val="single" w:color="auto" w:sz="4" w:space="0"/>
              <w:bottom w:val="single" w:color="auto" w:sz="4" w:space="0"/>
              <w:right w:val="single" w:color="auto" w:sz="4" w:space="0"/>
            </w:tcBorders>
          </w:tcPr>
          <w:p>
            <w:pPr>
              <w:pStyle w:val="8"/>
              <w:rPr>
                <w:color w:val="auto"/>
                <w:lang w:eastAsia="zh-CN"/>
              </w:rPr>
            </w:pPr>
            <w:r>
              <w:rPr>
                <w:color w:val="auto"/>
                <w:spacing w:val="16"/>
                <w:lang w:eastAsia="zh-CN"/>
              </w:rPr>
              <w:t>医院注册的骨与关节康复科在岗医师</w:t>
            </w:r>
            <w:r>
              <w:rPr>
                <w:color w:val="auto"/>
                <w:spacing w:val="18"/>
                <w:lang w:eastAsia="zh-CN"/>
              </w:rPr>
              <w:t>人数与同期骨与关节康复科实际开放</w:t>
            </w:r>
            <w:r>
              <w:rPr>
                <w:color w:val="auto"/>
                <w:spacing w:val="6"/>
                <w:lang w:eastAsia="zh-CN"/>
              </w:rPr>
              <w:t>床位数之比。</w:t>
            </w:r>
          </w:p>
        </w:tc>
        <w:tc>
          <w:tcPr>
            <w:tcW w:w="3527" w:type="dxa"/>
            <w:tcBorders>
              <w:top w:val="single" w:color="auto" w:sz="4" w:space="0"/>
              <w:left w:val="single" w:color="auto" w:sz="4" w:space="0"/>
              <w:bottom w:val="single" w:color="auto" w:sz="4" w:space="0"/>
              <w:right w:val="single" w:color="auto" w:sz="4" w:space="0"/>
            </w:tcBorders>
          </w:tcPr>
          <w:p>
            <w:pPr>
              <w:pStyle w:val="8"/>
              <w:spacing w:before="56" w:line="278" w:lineRule="auto"/>
              <w:ind w:left="22" w:right="9"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医院注册的骨与关节康复科在岗医师</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同期骨与关节康复科实际开放床位</w:t>
            </w:r>
            <w:r>
              <w:rPr>
                <w:color w:val="auto"/>
                <w:lang w:eastAsia="zh-CN"/>
              </w:rPr>
              <w:t>数</w:t>
            </w:r>
          </w:p>
        </w:tc>
        <w:tc>
          <w:tcPr>
            <w:tcW w:w="1167" w:type="dxa"/>
            <w:tcBorders>
              <w:top w:val="single" w:color="auto" w:sz="4" w:space="0"/>
              <w:left w:val="single" w:color="auto" w:sz="4" w:space="0"/>
              <w:bottom w:val="single" w:color="auto" w:sz="4" w:space="0"/>
              <w:right w:val="single" w:color="auto" w:sz="4" w:space="0"/>
            </w:tcBorders>
          </w:tcPr>
          <w:p>
            <w:pPr>
              <w:spacing w:line="280" w:lineRule="auto"/>
              <w:rPr>
                <w:color w:val="auto"/>
                <w:lang w:eastAsia="zh-CN"/>
              </w:rPr>
            </w:pPr>
          </w:p>
          <w:p>
            <w:pPr>
              <w:spacing w:line="281" w:lineRule="auto"/>
              <w:rPr>
                <w:color w:val="auto"/>
                <w:lang w:eastAsia="zh-CN"/>
              </w:rPr>
            </w:pPr>
          </w:p>
          <w:p>
            <w:pPr>
              <w:spacing w:line="281"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932"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63"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669"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080" w:type="dxa"/>
            <w:tcBorders>
              <w:top w:val="single" w:color="auto" w:sz="4" w:space="0"/>
              <w:left w:val="single" w:color="auto" w:sz="4" w:space="0"/>
              <w:bottom w:val="single" w:color="auto" w:sz="4" w:space="0"/>
              <w:right w:val="single" w:color="auto" w:sz="4" w:space="0"/>
            </w:tcBorders>
          </w:tcPr>
          <w:p>
            <w:pPr>
              <w:pStyle w:val="8"/>
              <w:spacing w:before="63" w:line="264" w:lineRule="auto"/>
              <w:ind w:left="16" w:right="14" w:hanging="2"/>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）骨与关</w:t>
            </w:r>
            <w:r>
              <w:rPr>
                <w:color w:val="auto"/>
                <w:spacing w:val="8"/>
                <w:lang w:eastAsia="zh-CN"/>
              </w:rPr>
              <w:t>节康复科护士人数与骨与关节康复科实际开放床位数比</w:t>
            </w:r>
          </w:p>
        </w:tc>
        <w:tc>
          <w:tcPr>
            <w:tcW w:w="1307" w:type="dxa"/>
            <w:tcBorders>
              <w:top w:val="single" w:color="auto" w:sz="4" w:space="0"/>
              <w:left w:val="single" w:color="auto" w:sz="4" w:space="0"/>
              <w:bottom w:val="single" w:color="auto" w:sz="4" w:space="0"/>
              <w:right w:val="single" w:color="auto" w:sz="4" w:space="0"/>
            </w:tcBorders>
          </w:tcPr>
          <w:p>
            <w:pPr>
              <w:spacing w:line="272" w:lineRule="auto"/>
              <w:rPr>
                <w:color w:val="auto"/>
                <w:lang w:eastAsia="zh-CN"/>
              </w:rPr>
            </w:pPr>
          </w:p>
          <w:p>
            <w:pPr>
              <w:spacing w:line="273" w:lineRule="auto"/>
              <w:rPr>
                <w:color w:val="auto"/>
                <w:lang w:eastAsia="zh-CN"/>
              </w:rPr>
            </w:pPr>
          </w:p>
          <w:p>
            <w:pPr>
              <w:pStyle w:val="8"/>
              <w:spacing w:before="62"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81" w:lineRule="auto"/>
              <w:rPr>
                <w:color w:val="auto"/>
                <w:lang w:eastAsia="zh-CN"/>
              </w:rPr>
            </w:pPr>
          </w:p>
          <w:p>
            <w:pPr>
              <w:spacing w:line="281" w:lineRule="auto"/>
              <w:rPr>
                <w:color w:val="auto"/>
                <w:lang w:eastAsia="zh-CN"/>
              </w:rPr>
            </w:pPr>
          </w:p>
          <w:p>
            <w:pPr>
              <w:spacing w:line="282"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83" w:line="269" w:lineRule="auto"/>
              <w:ind w:left="22" w:right="12" w:firstLine="21"/>
              <w:jc w:val="both"/>
              <w:rPr>
                <w:color w:val="auto"/>
                <w:lang w:eastAsia="zh-CN"/>
              </w:rPr>
            </w:pPr>
            <w:r>
              <w:rPr>
                <w:color w:val="auto"/>
                <w:spacing w:val="16"/>
                <w:lang w:eastAsia="zh-CN"/>
              </w:rPr>
              <w:t>医院注册的骨与关节康复科在岗护士</w:t>
            </w:r>
            <w:r>
              <w:rPr>
                <w:color w:val="auto"/>
                <w:spacing w:val="18"/>
                <w:lang w:eastAsia="zh-CN"/>
              </w:rPr>
              <w:t>人数与同期骨与关节康复科实际开放</w:t>
            </w:r>
            <w:r>
              <w:rPr>
                <w:color w:val="auto"/>
                <w:spacing w:val="6"/>
                <w:lang w:eastAsia="zh-CN"/>
              </w:rPr>
              <w:t>床位数之比。</w:t>
            </w:r>
          </w:p>
        </w:tc>
        <w:tc>
          <w:tcPr>
            <w:tcW w:w="3527" w:type="dxa"/>
            <w:tcBorders>
              <w:top w:val="single" w:color="auto" w:sz="4" w:space="0"/>
              <w:left w:val="single" w:color="auto" w:sz="4" w:space="0"/>
              <w:bottom w:val="single" w:color="auto" w:sz="4" w:space="0"/>
              <w:right w:val="single" w:color="auto" w:sz="4" w:space="0"/>
            </w:tcBorders>
          </w:tcPr>
          <w:p>
            <w:pPr>
              <w:pStyle w:val="8"/>
              <w:spacing w:before="56" w:line="278" w:lineRule="auto"/>
              <w:ind w:left="22" w:right="9"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医院注册的骨与关节康复科在岗护士</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同期骨与关节康复科实际开放床位</w:t>
            </w:r>
            <w:r>
              <w:rPr>
                <w:color w:val="auto"/>
                <w:lang w:eastAsia="zh-CN"/>
              </w:rPr>
              <w:t>数</w:t>
            </w:r>
          </w:p>
        </w:tc>
        <w:tc>
          <w:tcPr>
            <w:tcW w:w="1167" w:type="dxa"/>
            <w:tcBorders>
              <w:top w:val="single" w:color="auto" w:sz="4" w:space="0"/>
              <w:left w:val="single" w:color="auto" w:sz="4" w:space="0"/>
              <w:bottom w:val="single" w:color="auto" w:sz="4" w:space="0"/>
              <w:right w:val="single" w:color="auto" w:sz="4" w:space="0"/>
            </w:tcBorders>
          </w:tcPr>
          <w:p>
            <w:pPr>
              <w:spacing w:line="281" w:lineRule="auto"/>
              <w:rPr>
                <w:color w:val="auto"/>
                <w:lang w:eastAsia="zh-CN"/>
              </w:rPr>
            </w:pPr>
          </w:p>
          <w:p>
            <w:pPr>
              <w:spacing w:line="282" w:lineRule="auto"/>
              <w:rPr>
                <w:color w:val="auto"/>
                <w:lang w:eastAsia="zh-CN"/>
              </w:rPr>
            </w:pPr>
          </w:p>
          <w:p>
            <w:pPr>
              <w:spacing w:line="282" w:lineRule="auto"/>
              <w:rPr>
                <w:color w:val="auto"/>
                <w:lang w:eastAsia="zh-CN"/>
              </w:rPr>
            </w:pPr>
          </w:p>
          <w:p>
            <w:pPr>
              <w:pStyle w:val="8"/>
              <w:spacing w:before="61" w:line="226" w:lineRule="auto"/>
              <w:ind w:left="194"/>
              <w:rPr>
                <w:color w:val="auto"/>
              </w:rPr>
            </w:pPr>
            <w:r>
              <w:rPr>
                <w:color w:val="auto"/>
                <w:spacing w:val="6"/>
              </w:rPr>
              <w:t>监测达标</w:t>
            </w:r>
          </w:p>
        </w:tc>
      </w:tr>
    </w:tbl>
    <w:p>
      <w:pPr>
        <w:rPr>
          <w:color w:val="auto"/>
        </w:rPr>
      </w:pPr>
    </w:p>
    <w:p>
      <w:pPr>
        <w:rPr>
          <w:color w:val="auto"/>
        </w:rPr>
        <w:sectPr>
          <w:footerReference r:id="rId13"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69"/>
        <w:gridCol w:w="1248"/>
        <w:gridCol w:w="1139"/>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Borders>
              <w:bottom w:val="single" w:color="auto" w:sz="4" w:space="0"/>
            </w:tcBorders>
          </w:tcPr>
          <w:p>
            <w:pPr>
              <w:spacing w:before="202" w:line="230" w:lineRule="auto"/>
              <w:ind w:left="333"/>
              <w:rPr>
                <w:rFonts w:ascii="黑体" w:hAnsi="黑体" w:eastAsia="黑体" w:cs="黑体"/>
                <w:color w:val="auto"/>
                <w:sz w:val="19"/>
                <w:szCs w:val="19"/>
              </w:rPr>
            </w:pPr>
            <w:bookmarkStart w:id="0" w:name="bookmark7"/>
            <w:bookmarkEnd w:id="0"/>
            <w:r>
              <w:rPr>
                <w:rFonts w:ascii="黑体" w:hAnsi="黑体" w:eastAsia="黑体" w:cs="黑体"/>
                <w:color w:val="auto"/>
                <w:spacing w:val="4"/>
                <w:sz w:val="19"/>
                <w:szCs w:val="19"/>
              </w:rPr>
              <w:t>章节</w:t>
            </w:r>
          </w:p>
        </w:tc>
        <w:tc>
          <w:tcPr>
            <w:tcW w:w="2756" w:type="dxa"/>
            <w:gridSpan w:val="3"/>
            <w:tcBorders>
              <w:bottom w:val="single" w:color="auto" w:sz="4" w:space="0"/>
            </w:tcBorders>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139" w:type="dxa"/>
            <w:tcBorders>
              <w:bottom w:val="single" w:color="auto" w:sz="4" w:space="0"/>
            </w:tcBorders>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Borders>
              <w:bottom w:val="single" w:color="auto" w:sz="4" w:space="0"/>
            </w:tcBorders>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Borders>
              <w:bottom w:val="single" w:color="auto" w:sz="4" w:space="0"/>
            </w:tcBorders>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Borders>
              <w:bottom w:val="single" w:color="auto" w:sz="4" w:space="0"/>
            </w:tcBorders>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Borders>
              <w:bottom w:val="single" w:color="auto" w:sz="4" w:space="0"/>
            </w:tcBorders>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7" w:hRule="atLeast"/>
        </w:trPr>
        <w:tc>
          <w:tcPr>
            <w:tcW w:w="1056" w:type="dxa"/>
            <w:vMerge w:val="restart"/>
            <w:tcBorders>
              <w:top w:val="single" w:color="auto" w:sz="4" w:space="0"/>
              <w:left w:val="single" w:color="auto" w:sz="4" w:space="0"/>
              <w:bottom w:val="single" w:color="auto" w:sz="4" w:space="0"/>
              <w:right w:val="single" w:color="auto" w:sz="4" w:space="0"/>
            </w:tcBorders>
          </w:tcPr>
          <w:p>
            <w:pPr>
              <w:rPr>
                <w:color w:val="auto"/>
              </w:rPr>
            </w:pPr>
          </w:p>
        </w:tc>
        <w:tc>
          <w:tcPr>
            <w:tcW w:w="839" w:type="dxa"/>
            <w:vMerge w:val="restart"/>
            <w:tcBorders>
              <w:top w:val="single" w:color="auto" w:sz="4" w:space="0"/>
              <w:left w:val="single" w:color="auto" w:sz="4" w:space="0"/>
              <w:bottom w:val="single" w:color="auto" w:sz="4" w:space="0"/>
              <w:right w:val="single" w:color="auto" w:sz="4" w:space="0"/>
            </w:tcBorders>
          </w:tcPr>
          <w:p>
            <w:pPr>
              <w:rPr>
                <w:color w:val="auto"/>
              </w:rPr>
            </w:pPr>
          </w:p>
        </w:tc>
        <w:tc>
          <w:tcPr>
            <w:tcW w:w="669"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pacing w:val="5"/>
                <w:sz w:val="19"/>
                <w:szCs w:val="19"/>
              </w:rPr>
            </w:pPr>
          </w:p>
          <w:p>
            <w:pPr>
              <w:rPr>
                <w:rFonts w:ascii="仿宋" w:hAnsi="仿宋" w:eastAsia="仿宋" w:cs="仿宋"/>
                <w:color w:val="auto"/>
                <w:sz w:val="19"/>
                <w:szCs w:val="19"/>
              </w:rPr>
            </w:pPr>
            <w:r>
              <w:rPr>
                <w:rFonts w:hint="eastAsia" w:ascii="仿宋" w:hAnsi="仿宋" w:eastAsia="仿宋" w:cs="仿宋"/>
                <w:color w:val="auto"/>
                <w:spacing w:val="5"/>
                <w:sz w:val="19"/>
                <w:szCs w:val="19"/>
              </w:rPr>
              <w:t>2.</w:t>
            </w:r>
            <w:r>
              <w:rPr>
                <w:rFonts w:hint="eastAsia" w:ascii="仿宋" w:hAnsi="仿宋" w:eastAsia="仿宋" w:cs="仿宋"/>
                <w:color w:val="auto"/>
                <w:spacing w:val="5"/>
                <w:sz w:val="19"/>
                <w:szCs w:val="19"/>
                <w:lang w:eastAsia="zh-CN"/>
              </w:rPr>
              <w:t>神经</w:t>
            </w:r>
            <w:r>
              <w:rPr>
                <w:rFonts w:hint="eastAsia" w:ascii="仿宋" w:hAnsi="仿宋" w:eastAsia="仿宋" w:cs="仿宋"/>
                <w:color w:val="auto"/>
                <w:spacing w:val="7"/>
                <w:sz w:val="19"/>
                <w:szCs w:val="19"/>
              </w:rPr>
              <w:t>康</w:t>
            </w:r>
            <w:r>
              <w:rPr>
                <w:rFonts w:hint="eastAsia" w:ascii="仿宋" w:hAnsi="仿宋" w:eastAsia="仿宋" w:cs="仿宋"/>
                <w:color w:val="auto"/>
                <w:spacing w:val="5"/>
                <w:sz w:val="19"/>
                <w:szCs w:val="19"/>
              </w:rPr>
              <w:t>复科</w:t>
            </w:r>
          </w:p>
        </w:tc>
        <w:tc>
          <w:tcPr>
            <w:tcW w:w="1248" w:type="dxa"/>
            <w:tcBorders>
              <w:top w:val="single" w:color="auto" w:sz="4" w:space="0"/>
              <w:left w:val="single" w:color="auto" w:sz="4" w:space="0"/>
              <w:bottom w:val="single" w:color="auto" w:sz="4" w:space="0"/>
              <w:right w:val="single" w:color="auto" w:sz="4" w:space="0"/>
            </w:tcBorders>
          </w:tcPr>
          <w:p>
            <w:pPr>
              <w:pStyle w:val="8"/>
              <w:spacing w:before="57" w:line="250" w:lineRule="auto"/>
              <w:ind w:left="46" w:right="67" w:hanging="28"/>
              <w:rPr>
                <w:color w:val="auto"/>
                <w:lang w:eastAsia="zh-CN"/>
              </w:rPr>
            </w:pPr>
            <w:r>
              <w:rPr>
                <w:rFonts w:hint="eastAsia"/>
                <w:color w:val="auto"/>
                <w:lang w:eastAsia="zh-CN"/>
              </w:rPr>
              <w:t>（1）</w:t>
            </w:r>
            <w:r>
              <w:rPr>
                <w:rFonts w:hint="eastAsia"/>
                <w:color w:val="auto"/>
                <w:spacing w:val="5"/>
                <w:lang w:eastAsia="zh-CN"/>
              </w:rPr>
              <w:t>神经</w:t>
            </w:r>
            <w:r>
              <w:rPr>
                <w:rFonts w:hint="eastAsia"/>
                <w:color w:val="auto"/>
                <w:spacing w:val="7"/>
                <w:lang w:eastAsia="zh-CN"/>
              </w:rPr>
              <w:t>康复科开放床位数占医院实际开放床位数的</w:t>
            </w:r>
            <w:r>
              <w:rPr>
                <w:rFonts w:hint="eastAsia"/>
                <w:color w:val="auto"/>
                <w:spacing w:val="-10"/>
                <w:lang w:eastAsia="zh-CN"/>
              </w:rPr>
              <w:t>比例</w:t>
            </w:r>
          </w:p>
        </w:tc>
        <w:tc>
          <w:tcPr>
            <w:tcW w:w="1139" w:type="dxa"/>
            <w:tcBorders>
              <w:top w:val="single" w:color="auto" w:sz="4" w:space="0"/>
              <w:left w:val="single" w:color="auto" w:sz="4" w:space="0"/>
              <w:bottom w:val="single" w:color="auto" w:sz="4" w:space="0"/>
              <w:right w:val="single" w:color="auto" w:sz="4" w:space="0"/>
            </w:tcBorders>
          </w:tcPr>
          <w:p>
            <w:pPr>
              <w:pStyle w:val="8"/>
              <w:spacing w:before="181"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388" w:lineRule="auto"/>
              <w:rPr>
                <w:color w:val="auto"/>
                <w:lang w:eastAsia="zh-CN"/>
              </w:rPr>
            </w:pPr>
          </w:p>
          <w:p>
            <w:pPr>
              <w:pStyle w:val="8"/>
              <w:spacing w:before="62"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82" w:line="258" w:lineRule="auto"/>
              <w:ind w:left="34" w:right="12" w:hanging="12"/>
              <w:rPr>
                <w:color w:val="auto"/>
                <w:lang w:eastAsia="zh-CN"/>
              </w:rPr>
            </w:pPr>
            <w:r>
              <w:rPr>
                <w:rFonts w:hint="eastAsia" w:ascii="仿宋_GB2312" w:hAnsi="仿宋_GB2312" w:eastAsia="仿宋_GB2312" w:cs="仿宋_GB2312"/>
                <w:color w:val="auto"/>
                <w:spacing w:val="5"/>
                <w:lang w:eastAsia="zh-CN"/>
              </w:rPr>
              <w:t>神经</w:t>
            </w:r>
            <w:r>
              <w:rPr>
                <w:color w:val="auto"/>
                <w:spacing w:val="18"/>
                <w:lang w:eastAsia="zh-CN"/>
              </w:rPr>
              <w:t>康复科开放床位数占同期医</w:t>
            </w:r>
            <w:r>
              <w:rPr>
                <w:color w:val="auto"/>
                <w:spacing w:val="7"/>
                <w:lang w:eastAsia="zh-CN"/>
              </w:rPr>
              <w:t>院实际开放床位数的比例。</w:t>
            </w:r>
          </w:p>
        </w:tc>
        <w:tc>
          <w:tcPr>
            <w:tcW w:w="3527" w:type="dxa"/>
            <w:tcBorders>
              <w:top w:val="single" w:color="auto" w:sz="4" w:space="0"/>
              <w:left w:val="single" w:color="auto" w:sz="4" w:space="0"/>
              <w:bottom w:val="single" w:color="auto" w:sz="4" w:space="0"/>
              <w:right w:val="single" w:color="auto" w:sz="4" w:space="0"/>
            </w:tcBorders>
          </w:tcPr>
          <w:p>
            <w:pPr>
              <w:pStyle w:val="8"/>
              <w:spacing w:before="58" w:line="289" w:lineRule="auto"/>
              <w:ind w:left="31" w:right="9" w:hanging="1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rFonts w:hint="eastAsia" w:ascii="仿宋_GB2312" w:hAnsi="仿宋_GB2312" w:eastAsia="仿宋_GB2312" w:cs="仿宋_GB2312"/>
                <w:color w:val="auto"/>
                <w:spacing w:val="5"/>
                <w:lang w:eastAsia="zh-CN"/>
              </w:rPr>
              <w:t>神经</w:t>
            </w:r>
            <w:r>
              <w:rPr>
                <w:color w:val="auto"/>
                <w:spacing w:val="16"/>
                <w:lang w:eastAsia="zh-CN"/>
              </w:rPr>
              <w:t>康复科开放床位数</w:t>
            </w:r>
            <w:r>
              <w:rPr>
                <w:rFonts w:ascii="Times New Roman" w:hAnsi="Times New Roman" w:eastAsia="Times New Roman" w:cs="Times New Roman"/>
                <w:color w:val="auto"/>
                <w:spacing w:val="16"/>
                <w:lang w:eastAsia="zh-CN"/>
              </w:rPr>
              <w:t>/</w:t>
            </w:r>
            <w:r>
              <w:rPr>
                <w:color w:val="auto"/>
                <w:spacing w:val="16"/>
                <w:lang w:eastAsia="zh-CN"/>
              </w:rPr>
              <w:t>同期医院</w:t>
            </w:r>
            <w:r>
              <w:rPr>
                <w:color w:val="auto"/>
                <w:spacing w:val="4"/>
                <w:lang w:eastAsia="zh-CN"/>
              </w:rPr>
              <w:t>实际开放床位数</w:t>
            </w:r>
            <w:r>
              <w:rPr>
                <w:rFonts w:ascii="Times New Roman" w:hAnsi="Times New Roman" w:eastAsia="Times New Roman" w:cs="Times New Roman"/>
                <w:color w:val="auto"/>
                <w:spacing w:val="4"/>
                <w:lang w:eastAsia="zh-CN"/>
              </w:rPr>
              <w:t>×100%</w:t>
            </w:r>
          </w:p>
        </w:tc>
        <w:tc>
          <w:tcPr>
            <w:tcW w:w="1167" w:type="dxa"/>
            <w:tcBorders>
              <w:top w:val="single" w:color="auto" w:sz="4" w:space="0"/>
              <w:left w:val="single" w:color="auto" w:sz="4" w:space="0"/>
              <w:bottom w:val="single" w:color="auto" w:sz="4" w:space="0"/>
              <w:right w:val="single" w:color="auto" w:sz="4" w:space="0"/>
            </w:tcBorders>
          </w:tcPr>
          <w:p>
            <w:pPr>
              <w:spacing w:line="418" w:lineRule="auto"/>
              <w:rPr>
                <w:color w:val="auto"/>
                <w:lang w:eastAsia="zh-CN"/>
              </w:rPr>
            </w:pPr>
          </w:p>
          <w:p>
            <w:pPr>
              <w:pStyle w:val="8"/>
              <w:spacing w:before="61"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056"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839"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669"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19"/>
                <w:szCs w:val="19"/>
              </w:rPr>
            </w:pPr>
          </w:p>
        </w:tc>
        <w:tc>
          <w:tcPr>
            <w:tcW w:w="1248" w:type="dxa"/>
            <w:tcBorders>
              <w:top w:val="single" w:color="auto" w:sz="4" w:space="0"/>
              <w:left w:val="single" w:color="auto" w:sz="4" w:space="0"/>
              <w:bottom w:val="single" w:color="auto" w:sz="4" w:space="0"/>
              <w:right w:val="single" w:color="auto" w:sz="4" w:space="0"/>
            </w:tcBorders>
          </w:tcPr>
          <w:p>
            <w:pPr>
              <w:pStyle w:val="8"/>
              <w:spacing w:before="60" w:line="264" w:lineRule="auto"/>
              <w:ind w:left="16" w:right="14" w:hanging="2"/>
              <w:jc w:val="both"/>
              <w:rPr>
                <w:color w:val="auto"/>
                <w:lang w:eastAsia="zh-CN"/>
              </w:rPr>
            </w:pPr>
            <w:r>
              <w:rPr>
                <w:rFonts w:hint="eastAsia"/>
                <w:color w:val="auto"/>
                <w:lang w:eastAsia="zh-CN"/>
              </w:rPr>
              <w:t>（2）</w:t>
            </w:r>
            <w:r>
              <w:rPr>
                <w:rFonts w:hint="eastAsia"/>
                <w:color w:val="auto"/>
                <w:spacing w:val="5"/>
                <w:lang w:eastAsia="zh-CN"/>
              </w:rPr>
              <w:t>神经</w:t>
            </w:r>
            <w:r>
              <w:rPr>
                <w:rFonts w:hint="eastAsia"/>
                <w:color w:val="auto"/>
                <w:spacing w:val="8"/>
                <w:lang w:eastAsia="zh-CN"/>
              </w:rPr>
              <w:t>康复科医师人数与</w:t>
            </w:r>
            <w:r>
              <w:rPr>
                <w:rFonts w:hint="eastAsia"/>
                <w:color w:val="auto"/>
                <w:spacing w:val="5"/>
                <w:lang w:eastAsia="zh-CN"/>
              </w:rPr>
              <w:t>神经</w:t>
            </w:r>
            <w:r>
              <w:rPr>
                <w:rFonts w:hint="eastAsia"/>
                <w:color w:val="auto"/>
                <w:spacing w:val="8"/>
                <w:lang w:eastAsia="zh-CN"/>
              </w:rPr>
              <w:t>康复科实际开放床位数比</w:t>
            </w:r>
          </w:p>
        </w:tc>
        <w:tc>
          <w:tcPr>
            <w:tcW w:w="1139" w:type="dxa"/>
            <w:tcBorders>
              <w:top w:val="single" w:color="auto" w:sz="4" w:space="0"/>
              <w:left w:val="single" w:color="auto" w:sz="4" w:space="0"/>
              <w:bottom w:val="single" w:color="auto" w:sz="4" w:space="0"/>
              <w:right w:val="single" w:color="auto" w:sz="4" w:space="0"/>
            </w:tcBorders>
          </w:tcPr>
          <w:p>
            <w:pPr>
              <w:spacing w:line="266" w:lineRule="auto"/>
              <w:rPr>
                <w:color w:val="auto"/>
                <w:lang w:eastAsia="zh-CN"/>
              </w:rPr>
            </w:pPr>
          </w:p>
          <w:p>
            <w:pPr>
              <w:spacing w:line="267" w:lineRule="auto"/>
              <w:rPr>
                <w:color w:val="auto"/>
                <w:lang w:eastAsia="zh-CN"/>
              </w:rPr>
            </w:pPr>
          </w:p>
          <w:p>
            <w:pPr>
              <w:pStyle w:val="8"/>
              <w:spacing w:before="62"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77" w:lineRule="auto"/>
              <w:rPr>
                <w:color w:val="auto"/>
                <w:lang w:eastAsia="zh-CN"/>
              </w:rPr>
            </w:pPr>
          </w:p>
          <w:p>
            <w:pPr>
              <w:spacing w:line="277" w:lineRule="auto"/>
              <w:rPr>
                <w:color w:val="auto"/>
                <w:lang w:eastAsia="zh-CN"/>
              </w:rPr>
            </w:pPr>
          </w:p>
          <w:p>
            <w:pPr>
              <w:spacing w:line="278"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60" w:line="256" w:lineRule="auto"/>
              <w:ind w:left="22" w:right="154" w:firstLine="21"/>
              <w:jc w:val="both"/>
              <w:rPr>
                <w:color w:val="auto"/>
                <w:lang w:eastAsia="zh-CN"/>
              </w:rPr>
            </w:pPr>
            <w:r>
              <w:rPr>
                <w:color w:val="auto"/>
                <w:spacing w:val="7"/>
                <w:lang w:eastAsia="zh-CN"/>
              </w:rPr>
              <w:t>医院注册的</w:t>
            </w:r>
            <w:r>
              <w:rPr>
                <w:rFonts w:hint="eastAsia" w:ascii="仿宋_GB2312" w:hAnsi="仿宋_GB2312" w:eastAsia="仿宋_GB2312" w:cs="仿宋_GB2312"/>
                <w:color w:val="auto"/>
                <w:spacing w:val="5"/>
                <w:lang w:eastAsia="zh-CN"/>
              </w:rPr>
              <w:t>神经</w:t>
            </w:r>
            <w:r>
              <w:rPr>
                <w:color w:val="auto"/>
                <w:spacing w:val="7"/>
                <w:lang w:eastAsia="zh-CN"/>
              </w:rPr>
              <w:t>康复科在岗医师</w:t>
            </w:r>
            <w:r>
              <w:rPr>
                <w:color w:val="auto"/>
                <w:spacing w:val="9"/>
                <w:lang w:eastAsia="zh-CN"/>
              </w:rPr>
              <w:t>人数与同期</w:t>
            </w:r>
            <w:r>
              <w:rPr>
                <w:rFonts w:hint="eastAsia" w:ascii="仿宋_GB2312" w:hAnsi="仿宋_GB2312" w:eastAsia="仿宋_GB2312" w:cs="仿宋_GB2312"/>
                <w:color w:val="auto"/>
                <w:spacing w:val="5"/>
                <w:lang w:eastAsia="zh-CN"/>
              </w:rPr>
              <w:t>神经</w:t>
            </w:r>
            <w:r>
              <w:rPr>
                <w:color w:val="auto"/>
                <w:spacing w:val="9"/>
                <w:lang w:eastAsia="zh-CN"/>
              </w:rPr>
              <w:t>康复科实际开放</w:t>
            </w:r>
            <w:r>
              <w:rPr>
                <w:color w:val="auto"/>
                <w:spacing w:val="6"/>
                <w:lang w:eastAsia="zh-CN"/>
              </w:rPr>
              <w:t>床位数之比。</w:t>
            </w:r>
          </w:p>
        </w:tc>
        <w:tc>
          <w:tcPr>
            <w:tcW w:w="3527" w:type="dxa"/>
            <w:tcBorders>
              <w:top w:val="single" w:color="auto" w:sz="4" w:space="0"/>
              <w:left w:val="single" w:color="auto" w:sz="4" w:space="0"/>
              <w:bottom w:val="single" w:color="auto" w:sz="4" w:space="0"/>
              <w:right w:val="single" w:color="auto" w:sz="4" w:space="0"/>
            </w:tcBorders>
          </w:tcPr>
          <w:p>
            <w:pPr>
              <w:pStyle w:val="8"/>
              <w:spacing w:before="56" w:line="277" w:lineRule="auto"/>
              <w:ind w:left="22" w:right="9"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w:t>
            </w:r>
            <w:r>
              <w:rPr>
                <w:rFonts w:hint="eastAsia" w:ascii="仿宋_GB2312" w:hAnsi="仿宋_GB2312" w:eastAsia="仿宋_GB2312" w:cs="仿宋_GB2312"/>
                <w:color w:val="auto"/>
                <w:spacing w:val="5"/>
                <w:lang w:eastAsia="zh-CN"/>
              </w:rPr>
              <w:t>神经</w:t>
            </w:r>
            <w:r>
              <w:rPr>
                <w:color w:val="auto"/>
                <w:spacing w:val="20"/>
                <w:lang w:eastAsia="zh-CN"/>
              </w:rPr>
              <w:t>康复科在岗医师</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w:t>
            </w:r>
            <w:r>
              <w:rPr>
                <w:rFonts w:hint="eastAsia" w:ascii="仿宋_GB2312" w:hAnsi="仿宋_GB2312" w:eastAsia="仿宋_GB2312" w:cs="仿宋_GB2312"/>
                <w:color w:val="auto"/>
                <w:spacing w:val="5"/>
                <w:lang w:eastAsia="zh-CN"/>
              </w:rPr>
              <w:t>神经</w:t>
            </w:r>
            <w:r>
              <w:rPr>
                <w:color w:val="auto"/>
                <w:spacing w:val="11"/>
                <w:lang w:eastAsia="zh-CN"/>
              </w:rPr>
              <w:t>康复科实际开放床位</w:t>
            </w:r>
            <w:r>
              <w:rPr>
                <w:color w:val="auto"/>
                <w:lang w:eastAsia="zh-CN"/>
              </w:rPr>
              <w:t>数</w:t>
            </w:r>
          </w:p>
        </w:tc>
        <w:tc>
          <w:tcPr>
            <w:tcW w:w="1167" w:type="dxa"/>
            <w:tcBorders>
              <w:top w:val="single" w:color="auto" w:sz="4" w:space="0"/>
              <w:left w:val="single" w:color="auto" w:sz="4" w:space="0"/>
              <w:bottom w:val="single" w:color="auto" w:sz="4" w:space="0"/>
              <w:right w:val="single" w:color="auto" w:sz="4" w:space="0"/>
            </w:tcBorders>
          </w:tcPr>
          <w:p>
            <w:pPr>
              <w:spacing w:line="277" w:lineRule="auto"/>
              <w:rPr>
                <w:color w:val="auto"/>
                <w:lang w:eastAsia="zh-CN"/>
              </w:rPr>
            </w:pPr>
          </w:p>
          <w:p>
            <w:pPr>
              <w:spacing w:line="277" w:lineRule="auto"/>
              <w:rPr>
                <w:color w:val="auto"/>
                <w:lang w:eastAsia="zh-CN"/>
              </w:rPr>
            </w:pPr>
          </w:p>
          <w:p>
            <w:pPr>
              <w:spacing w:line="278"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056"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839"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669"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19"/>
                <w:szCs w:val="19"/>
              </w:rPr>
            </w:pPr>
          </w:p>
        </w:tc>
        <w:tc>
          <w:tcPr>
            <w:tcW w:w="1248" w:type="dxa"/>
            <w:tcBorders>
              <w:top w:val="single" w:color="auto" w:sz="4" w:space="0"/>
              <w:left w:val="single" w:color="auto" w:sz="4" w:space="0"/>
              <w:bottom w:val="single" w:color="auto" w:sz="4" w:space="0"/>
              <w:right w:val="single" w:color="auto" w:sz="4" w:space="0"/>
            </w:tcBorders>
          </w:tcPr>
          <w:p>
            <w:pPr>
              <w:pStyle w:val="8"/>
              <w:spacing w:before="61" w:line="264" w:lineRule="auto"/>
              <w:ind w:left="16" w:right="14" w:hanging="2"/>
              <w:jc w:val="both"/>
              <w:rPr>
                <w:color w:val="auto"/>
                <w:lang w:eastAsia="zh-CN"/>
              </w:rPr>
            </w:pPr>
            <w:r>
              <w:rPr>
                <w:rFonts w:hint="eastAsia"/>
                <w:color w:val="auto"/>
                <w:lang w:eastAsia="zh-CN"/>
              </w:rPr>
              <w:t>（3）</w:t>
            </w:r>
            <w:r>
              <w:rPr>
                <w:rFonts w:hint="eastAsia"/>
                <w:color w:val="auto"/>
                <w:spacing w:val="5"/>
                <w:lang w:eastAsia="zh-CN"/>
              </w:rPr>
              <w:t>神经</w:t>
            </w:r>
            <w:r>
              <w:rPr>
                <w:rFonts w:hint="eastAsia"/>
                <w:color w:val="auto"/>
                <w:spacing w:val="8"/>
                <w:lang w:eastAsia="zh-CN"/>
              </w:rPr>
              <w:t>康复科护士人数与</w:t>
            </w:r>
            <w:r>
              <w:rPr>
                <w:rFonts w:hint="eastAsia"/>
                <w:color w:val="auto"/>
                <w:spacing w:val="5"/>
                <w:lang w:eastAsia="zh-CN"/>
              </w:rPr>
              <w:t>神经</w:t>
            </w:r>
            <w:r>
              <w:rPr>
                <w:rFonts w:hint="eastAsia"/>
                <w:color w:val="auto"/>
                <w:spacing w:val="8"/>
                <w:lang w:eastAsia="zh-CN"/>
              </w:rPr>
              <w:t>康复科实际开放床位数比</w:t>
            </w:r>
          </w:p>
        </w:tc>
        <w:tc>
          <w:tcPr>
            <w:tcW w:w="1139" w:type="dxa"/>
            <w:tcBorders>
              <w:top w:val="single" w:color="auto" w:sz="4" w:space="0"/>
              <w:left w:val="single" w:color="auto" w:sz="4" w:space="0"/>
              <w:bottom w:val="single" w:color="auto" w:sz="4" w:space="0"/>
              <w:right w:val="single" w:color="auto" w:sz="4" w:space="0"/>
            </w:tcBorders>
          </w:tcPr>
          <w:p>
            <w:pPr>
              <w:spacing w:line="277" w:lineRule="auto"/>
              <w:rPr>
                <w:color w:val="auto"/>
                <w:lang w:eastAsia="zh-CN"/>
              </w:rPr>
            </w:pPr>
          </w:p>
          <w:p>
            <w:pPr>
              <w:spacing w:line="278" w:lineRule="auto"/>
              <w:rPr>
                <w:color w:val="auto"/>
                <w:lang w:eastAsia="zh-CN"/>
              </w:rPr>
            </w:pPr>
          </w:p>
          <w:p>
            <w:pPr>
              <w:pStyle w:val="8"/>
              <w:spacing w:before="61" w:line="257" w:lineRule="auto"/>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spacing w:line="277" w:lineRule="auto"/>
              <w:rPr>
                <w:color w:val="auto"/>
                <w:lang w:eastAsia="zh-CN"/>
              </w:rPr>
            </w:pPr>
          </w:p>
          <w:p>
            <w:pPr>
              <w:spacing w:line="278" w:lineRule="auto"/>
              <w:rPr>
                <w:color w:val="auto"/>
                <w:lang w:eastAsia="zh-CN"/>
              </w:rPr>
            </w:pPr>
          </w:p>
          <w:p>
            <w:pPr>
              <w:spacing w:line="278" w:lineRule="auto"/>
              <w:rPr>
                <w:color w:val="auto"/>
                <w:lang w:eastAsia="zh-CN"/>
              </w:rPr>
            </w:pPr>
          </w:p>
          <w:p>
            <w:pPr>
              <w:pStyle w:val="8"/>
              <w:spacing w:before="61"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79" w:line="270" w:lineRule="auto"/>
              <w:ind w:left="22" w:right="12" w:firstLine="21"/>
              <w:jc w:val="both"/>
              <w:rPr>
                <w:color w:val="auto"/>
                <w:lang w:eastAsia="zh-CN"/>
              </w:rPr>
            </w:pPr>
            <w:r>
              <w:rPr>
                <w:color w:val="auto"/>
                <w:spacing w:val="16"/>
                <w:lang w:eastAsia="zh-CN"/>
              </w:rPr>
              <w:t>医院注册的</w:t>
            </w:r>
            <w:r>
              <w:rPr>
                <w:rFonts w:hint="eastAsia" w:ascii="仿宋_GB2312" w:hAnsi="仿宋_GB2312" w:eastAsia="仿宋_GB2312" w:cs="仿宋_GB2312"/>
                <w:color w:val="auto"/>
                <w:spacing w:val="5"/>
                <w:lang w:eastAsia="zh-CN"/>
              </w:rPr>
              <w:t>神经</w:t>
            </w:r>
            <w:r>
              <w:rPr>
                <w:color w:val="auto"/>
                <w:spacing w:val="16"/>
                <w:lang w:eastAsia="zh-CN"/>
              </w:rPr>
              <w:t>康复科在岗护士</w:t>
            </w:r>
            <w:r>
              <w:rPr>
                <w:color w:val="auto"/>
                <w:spacing w:val="18"/>
                <w:lang w:eastAsia="zh-CN"/>
              </w:rPr>
              <w:t>人数与同期颅脑损伤康复科实际开放</w:t>
            </w:r>
            <w:r>
              <w:rPr>
                <w:color w:val="auto"/>
                <w:spacing w:val="5"/>
                <w:lang w:eastAsia="zh-CN"/>
              </w:rPr>
              <w:t>床数之比。</w:t>
            </w:r>
          </w:p>
        </w:tc>
        <w:tc>
          <w:tcPr>
            <w:tcW w:w="3527" w:type="dxa"/>
            <w:tcBorders>
              <w:top w:val="single" w:color="auto" w:sz="4" w:space="0"/>
              <w:left w:val="single" w:color="auto" w:sz="4" w:space="0"/>
              <w:bottom w:val="single" w:color="auto" w:sz="4" w:space="0"/>
              <w:right w:val="single" w:color="auto" w:sz="4" w:space="0"/>
            </w:tcBorders>
          </w:tcPr>
          <w:p>
            <w:pPr>
              <w:pStyle w:val="8"/>
              <w:spacing w:before="57" w:line="277" w:lineRule="auto"/>
              <w:ind w:left="22" w:right="9"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w:t>
            </w:r>
            <w:r>
              <w:rPr>
                <w:rFonts w:hint="eastAsia" w:ascii="仿宋_GB2312" w:hAnsi="仿宋_GB2312" w:eastAsia="仿宋_GB2312" w:cs="仿宋_GB2312"/>
                <w:color w:val="auto"/>
                <w:spacing w:val="5"/>
                <w:lang w:eastAsia="zh-CN"/>
              </w:rPr>
              <w:t>神经</w:t>
            </w:r>
            <w:r>
              <w:rPr>
                <w:color w:val="auto"/>
                <w:spacing w:val="20"/>
                <w:lang w:eastAsia="zh-CN"/>
              </w:rPr>
              <w:t>康复科在岗护士</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w:t>
            </w:r>
            <w:r>
              <w:rPr>
                <w:rFonts w:hint="eastAsia" w:ascii="仿宋_GB2312" w:hAnsi="仿宋_GB2312" w:eastAsia="仿宋_GB2312" w:cs="仿宋_GB2312"/>
                <w:color w:val="auto"/>
                <w:spacing w:val="5"/>
                <w:lang w:eastAsia="zh-CN"/>
              </w:rPr>
              <w:t>神经</w:t>
            </w:r>
            <w:r>
              <w:rPr>
                <w:color w:val="auto"/>
                <w:spacing w:val="11"/>
                <w:lang w:eastAsia="zh-CN"/>
              </w:rPr>
              <w:t>康复科实际开放床位</w:t>
            </w:r>
            <w:r>
              <w:rPr>
                <w:color w:val="auto"/>
                <w:lang w:eastAsia="zh-CN"/>
              </w:rPr>
              <w:t>数</w:t>
            </w:r>
          </w:p>
        </w:tc>
        <w:tc>
          <w:tcPr>
            <w:tcW w:w="1167" w:type="dxa"/>
            <w:tcBorders>
              <w:top w:val="single" w:color="auto" w:sz="4" w:space="0"/>
              <w:left w:val="single" w:color="auto" w:sz="4" w:space="0"/>
              <w:bottom w:val="single" w:color="auto" w:sz="4" w:space="0"/>
              <w:right w:val="single" w:color="auto" w:sz="4" w:space="0"/>
            </w:tcBorders>
          </w:tcPr>
          <w:p>
            <w:pPr>
              <w:spacing w:line="277" w:lineRule="auto"/>
              <w:rPr>
                <w:color w:val="auto"/>
                <w:lang w:eastAsia="zh-CN"/>
              </w:rPr>
            </w:pPr>
          </w:p>
          <w:p>
            <w:pPr>
              <w:spacing w:line="278" w:lineRule="auto"/>
              <w:rPr>
                <w:color w:val="auto"/>
                <w:lang w:eastAsia="zh-CN"/>
              </w:rPr>
            </w:pPr>
          </w:p>
          <w:p>
            <w:pPr>
              <w:spacing w:line="278"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6"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839"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669" w:type="dxa"/>
            <w:tcBorders>
              <w:top w:val="single" w:color="auto" w:sz="4" w:space="0"/>
              <w:left w:val="single" w:color="auto" w:sz="4" w:space="0"/>
              <w:bottom w:val="single" w:color="auto" w:sz="4" w:space="0"/>
              <w:right w:val="single" w:color="auto" w:sz="4" w:space="0"/>
            </w:tcBorders>
          </w:tcPr>
          <w:p>
            <w:pPr>
              <w:pStyle w:val="8"/>
              <w:spacing w:before="83" w:line="248" w:lineRule="auto"/>
              <w:ind w:left="12" w:right="52" w:firstLine="6"/>
              <w:rPr>
                <w:color w:val="auto"/>
              </w:rPr>
            </w:pPr>
            <w:r>
              <w:rPr>
                <w:rFonts w:hint="eastAsia" w:ascii="Times New Roman" w:hAnsi="Times New Roman" w:eastAsia="宋体" w:cs="Times New Roman"/>
                <w:color w:val="auto"/>
                <w:spacing w:val="3"/>
                <w:lang w:eastAsia="zh-CN"/>
              </w:rPr>
              <w:t>3</w:t>
            </w:r>
            <w:r>
              <w:rPr>
                <w:rFonts w:ascii="Times New Roman" w:hAnsi="Times New Roman" w:eastAsia="Times New Roman" w:cs="Times New Roman"/>
                <w:color w:val="auto"/>
                <w:spacing w:val="3"/>
              </w:rPr>
              <w:t>.</w:t>
            </w:r>
            <w:r>
              <w:rPr>
                <w:color w:val="auto"/>
                <w:spacing w:val="3"/>
              </w:rPr>
              <w:t>儿童</w:t>
            </w:r>
            <w:r>
              <w:rPr>
                <w:color w:val="auto"/>
                <w:spacing w:val="9"/>
              </w:rPr>
              <w:t>康复科</w:t>
            </w:r>
          </w:p>
        </w:tc>
        <w:tc>
          <w:tcPr>
            <w:tcW w:w="1248" w:type="dxa"/>
            <w:tcBorders>
              <w:top w:val="single" w:color="auto" w:sz="4" w:space="0"/>
              <w:left w:val="single" w:color="auto" w:sz="4" w:space="0"/>
              <w:bottom w:val="single" w:color="auto" w:sz="4" w:space="0"/>
              <w:right w:val="single" w:color="auto" w:sz="4" w:space="0"/>
            </w:tcBorders>
          </w:tcPr>
          <w:p>
            <w:pPr>
              <w:pStyle w:val="8"/>
              <w:spacing w:before="83" w:line="248" w:lineRule="auto"/>
              <w:ind w:left="26" w:right="14" w:hanging="12"/>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）儿童康</w:t>
            </w:r>
            <w:r>
              <w:rPr>
                <w:color w:val="auto"/>
                <w:spacing w:val="6"/>
                <w:lang w:eastAsia="zh-CN"/>
              </w:rPr>
              <w:t>复科开放床</w:t>
            </w:r>
            <w:r>
              <w:rPr>
                <w:color w:val="auto"/>
                <w:spacing w:val="8"/>
                <w:lang w:eastAsia="zh-CN"/>
              </w:rPr>
              <w:t>位数占医院实际开放床位数的比例</w:t>
            </w:r>
          </w:p>
        </w:tc>
        <w:tc>
          <w:tcPr>
            <w:tcW w:w="1139" w:type="dxa"/>
            <w:tcBorders>
              <w:top w:val="single" w:color="auto" w:sz="4" w:space="0"/>
              <w:left w:val="single" w:color="auto" w:sz="4" w:space="0"/>
              <w:bottom w:val="single" w:color="auto" w:sz="4" w:space="0"/>
              <w:right w:val="single" w:color="auto" w:sz="4" w:space="0"/>
            </w:tcBorders>
          </w:tcPr>
          <w:p>
            <w:pPr>
              <w:pStyle w:val="8"/>
              <w:spacing w:before="73" w:line="259" w:lineRule="auto"/>
              <w:ind w:left="49" w:right="13" w:hanging="27"/>
              <w:rPr>
                <w:color w:val="auto"/>
                <w:lang w:eastAsia="zh-CN"/>
              </w:rPr>
            </w:pPr>
            <w:r>
              <w:rPr>
                <w:color w:val="auto"/>
                <w:spacing w:val="13"/>
                <w:lang w:eastAsia="zh-CN"/>
              </w:rPr>
              <w:t>定量指标，配</w:t>
            </w:r>
            <w:r>
              <w:rPr>
                <w:color w:val="auto"/>
                <w:spacing w:val="8"/>
                <w:lang w:eastAsia="zh-CN"/>
              </w:rPr>
              <w:t>比类指标，必</w:t>
            </w:r>
            <w:r>
              <w:rPr>
                <w:color w:val="auto"/>
                <w:spacing w:val="5"/>
                <w:lang w:eastAsia="zh-CN"/>
              </w:rPr>
              <w:t>填指标。</w:t>
            </w:r>
          </w:p>
        </w:tc>
        <w:tc>
          <w:tcPr>
            <w:tcW w:w="1044" w:type="dxa"/>
            <w:tcBorders>
              <w:top w:val="single" w:color="auto" w:sz="4" w:space="0"/>
              <w:left w:val="single" w:color="auto" w:sz="4" w:space="0"/>
              <w:bottom w:val="single" w:color="auto" w:sz="4" w:space="0"/>
              <w:right w:val="single" w:color="auto" w:sz="4" w:space="0"/>
            </w:tcBorders>
          </w:tcPr>
          <w:p>
            <w:pPr>
              <w:pStyle w:val="8"/>
              <w:spacing w:before="192"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Borders>
              <w:top w:val="single" w:color="auto" w:sz="4" w:space="0"/>
              <w:left w:val="single" w:color="auto" w:sz="4" w:space="0"/>
              <w:bottom w:val="single" w:color="auto" w:sz="4" w:space="0"/>
              <w:right w:val="single" w:color="auto" w:sz="4" w:space="0"/>
            </w:tcBorders>
          </w:tcPr>
          <w:p>
            <w:pPr>
              <w:pStyle w:val="8"/>
              <w:spacing w:before="61" w:line="249" w:lineRule="auto"/>
              <w:ind w:left="36" w:right="154" w:hanging="16"/>
              <w:rPr>
                <w:color w:val="auto"/>
                <w:lang w:eastAsia="zh-CN"/>
              </w:rPr>
            </w:pPr>
            <w:r>
              <w:rPr>
                <w:color w:val="auto"/>
                <w:spacing w:val="9"/>
                <w:lang w:eastAsia="zh-CN"/>
              </w:rPr>
              <w:t>儿童康复科开放床位数占同期医院实</w:t>
            </w:r>
            <w:r>
              <w:rPr>
                <w:color w:val="auto"/>
                <w:spacing w:val="6"/>
                <w:lang w:eastAsia="zh-CN"/>
              </w:rPr>
              <w:t>际开放床位数的比例。</w:t>
            </w:r>
          </w:p>
        </w:tc>
        <w:tc>
          <w:tcPr>
            <w:tcW w:w="3527" w:type="dxa"/>
            <w:tcBorders>
              <w:top w:val="single" w:color="auto" w:sz="4" w:space="0"/>
              <w:left w:val="single" w:color="auto" w:sz="4" w:space="0"/>
              <w:bottom w:val="single" w:color="auto" w:sz="4" w:space="0"/>
              <w:right w:val="single" w:color="auto" w:sz="4" w:space="0"/>
            </w:tcBorders>
          </w:tcPr>
          <w:p>
            <w:pPr>
              <w:pStyle w:val="8"/>
              <w:spacing w:before="58" w:line="269" w:lineRule="auto"/>
              <w:ind w:left="27" w:right="9"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儿童康复科开放床位数</w:t>
            </w:r>
            <w:r>
              <w:rPr>
                <w:rFonts w:ascii="Times New Roman" w:hAnsi="Times New Roman" w:eastAsia="Times New Roman" w:cs="Times New Roman"/>
                <w:color w:val="auto"/>
                <w:spacing w:val="16"/>
                <w:lang w:eastAsia="zh-CN"/>
              </w:rPr>
              <w:t>/</w:t>
            </w:r>
            <w:r>
              <w:rPr>
                <w:color w:val="auto"/>
                <w:spacing w:val="16"/>
                <w:lang w:eastAsia="zh-CN"/>
              </w:rPr>
              <w:t>同期医院实际</w:t>
            </w:r>
            <w:r>
              <w:rPr>
                <w:color w:val="auto"/>
                <w:spacing w:val="4"/>
                <w:lang w:eastAsia="zh-CN"/>
              </w:rPr>
              <w:t>开放床位数</w:t>
            </w:r>
            <w:r>
              <w:rPr>
                <w:rFonts w:ascii="Times New Roman" w:hAnsi="Times New Roman" w:eastAsia="Times New Roman" w:cs="Times New Roman"/>
                <w:color w:val="auto"/>
                <w:spacing w:val="4"/>
                <w:lang w:eastAsia="zh-CN"/>
              </w:rPr>
              <w:t>×100%</w:t>
            </w:r>
          </w:p>
        </w:tc>
        <w:tc>
          <w:tcPr>
            <w:tcW w:w="1167" w:type="dxa"/>
            <w:tcBorders>
              <w:top w:val="single" w:color="auto" w:sz="4" w:space="0"/>
              <w:left w:val="single" w:color="auto" w:sz="4" w:space="0"/>
              <w:bottom w:val="single" w:color="auto" w:sz="4" w:space="0"/>
              <w:right w:val="single" w:color="auto" w:sz="4" w:space="0"/>
            </w:tcBorders>
          </w:tcPr>
          <w:p>
            <w:pPr>
              <w:spacing w:line="278" w:lineRule="auto"/>
              <w:rPr>
                <w:color w:val="auto"/>
                <w:lang w:eastAsia="zh-CN"/>
              </w:rPr>
            </w:pPr>
          </w:p>
          <w:p>
            <w:pPr>
              <w:spacing w:line="278" w:lineRule="auto"/>
              <w:rPr>
                <w:color w:val="auto"/>
                <w:lang w:eastAsia="zh-CN"/>
              </w:rPr>
            </w:pPr>
          </w:p>
          <w:p>
            <w:pPr>
              <w:spacing w:line="278" w:lineRule="auto"/>
              <w:rPr>
                <w:color w:val="auto"/>
                <w:lang w:eastAsia="zh-CN"/>
              </w:rPr>
            </w:pPr>
          </w:p>
          <w:p>
            <w:pPr>
              <w:pStyle w:val="8"/>
              <w:spacing w:before="61" w:line="226" w:lineRule="auto"/>
              <w:ind w:left="194"/>
              <w:rPr>
                <w:color w:val="auto"/>
              </w:rPr>
            </w:pPr>
            <w:r>
              <w:rPr>
                <w:color w:val="auto"/>
                <w:spacing w:val="6"/>
              </w:rPr>
              <w:t>监测达标</w:t>
            </w:r>
          </w:p>
        </w:tc>
      </w:tr>
    </w:tbl>
    <w:p>
      <w:pPr>
        <w:rPr>
          <w:color w:val="auto"/>
        </w:rPr>
        <w:sectPr>
          <w:footerReference r:id="rId14" w:type="default"/>
          <w:pgSz w:w="16839" w:h="11906"/>
          <w:pgMar w:top="1012" w:right="1386" w:bottom="1494" w:left="1386" w:header="0" w:footer="1332" w:gutter="0"/>
          <w:pgNumType w:fmt="numberInDash"/>
          <w:cols w:space="720" w:num="1"/>
        </w:sect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686"/>
        <w:gridCol w:w="822"/>
        <w:gridCol w:w="1080"/>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Borders>
              <w:bottom w:val="single" w:color="000000" w:sz="2" w:space="0"/>
            </w:tcBorders>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Borders>
              <w:bottom w:val="single" w:color="000000" w:sz="2" w:space="0"/>
            </w:tcBorders>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restart"/>
            <w:tcBorders>
              <w:top w:val="single" w:color="000000" w:sz="2" w:space="0"/>
              <w:bottom w:val="single" w:color="000000" w:sz="2" w:space="0"/>
            </w:tcBorders>
          </w:tcPr>
          <w:p>
            <w:pPr>
              <w:rPr>
                <w:color w:val="auto"/>
              </w:rPr>
            </w:pPr>
          </w:p>
        </w:tc>
        <w:tc>
          <w:tcPr>
            <w:tcW w:w="686" w:type="dxa"/>
            <w:vMerge w:val="restart"/>
            <w:tcBorders>
              <w:top w:val="single" w:color="000000" w:sz="2" w:space="0"/>
              <w:bottom w:val="single" w:color="000000" w:sz="2" w:space="0"/>
            </w:tcBorders>
          </w:tcPr>
          <w:p>
            <w:pPr>
              <w:rPr>
                <w:color w:val="auto"/>
              </w:rPr>
            </w:pPr>
          </w:p>
        </w:tc>
        <w:tc>
          <w:tcPr>
            <w:tcW w:w="822" w:type="dxa"/>
            <w:vMerge w:val="restart"/>
            <w:tcBorders>
              <w:top w:val="single" w:color="000000" w:sz="2" w:space="0"/>
              <w:bottom w:val="single" w:color="000000" w:sz="2" w:space="0"/>
            </w:tcBorders>
          </w:tcPr>
          <w:p>
            <w:pPr>
              <w:spacing w:line="280" w:lineRule="auto"/>
              <w:rPr>
                <w:color w:val="auto"/>
              </w:rPr>
            </w:pPr>
          </w:p>
          <w:p>
            <w:pPr>
              <w:spacing w:line="281" w:lineRule="auto"/>
              <w:rPr>
                <w:color w:val="auto"/>
              </w:rPr>
            </w:pPr>
          </w:p>
          <w:p>
            <w:pPr>
              <w:spacing w:line="281" w:lineRule="auto"/>
              <w:rPr>
                <w:color w:val="auto"/>
              </w:rPr>
            </w:pPr>
          </w:p>
          <w:p>
            <w:pPr>
              <w:spacing w:line="281" w:lineRule="auto"/>
              <w:rPr>
                <w:color w:val="auto"/>
              </w:rPr>
            </w:pPr>
          </w:p>
          <w:p>
            <w:pPr>
              <w:spacing w:line="281" w:lineRule="auto"/>
              <w:rPr>
                <w:color w:val="auto"/>
              </w:rPr>
            </w:pPr>
          </w:p>
          <w:p>
            <w:pPr>
              <w:pStyle w:val="8"/>
              <w:spacing w:before="62" w:line="256" w:lineRule="auto"/>
              <w:ind w:left="27" w:right="52" w:hanging="13"/>
              <w:jc w:val="both"/>
              <w:rPr>
                <w:color w:val="auto"/>
              </w:rPr>
            </w:pPr>
          </w:p>
        </w:tc>
        <w:tc>
          <w:tcPr>
            <w:tcW w:w="1080" w:type="dxa"/>
            <w:tcBorders>
              <w:top w:val="single" w:color="000000" w:sz="2" w:space="0"/>
              <w:bottom w:val="single" w:color="000000" w:sz="2" w:space="0"/>
            </w:tcBorders>
          </w:tcPr>
          <w:p>
            <w:pPr>
              <w:pStyle w:val="8"/>
              <w:spacing w:before="57" w:line="263" w:lineRule="auto"/>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）儿童康</w:t>
            </w:r>
            <w:r>
              <w:rPr>
                <w:color w:val="auto"/>
                <w:spacing w:val="7"/>
                <w:lang w:eastAsia="zh-CN"/>
              </w:rPr>
              <w:t>复科医师人数与儿童康复科实际开放床位数比</w:t>
            </w:r>
          </w:p>
        </w:tc>
        <w:tc>
          <w:tcPr>
            <w:tcW w:w="1307" w:type="dxa"/>
          </w:tcPr>
          <w:p>
            <w:pPr>
              <w:spacing w:line="394" w:lineRule="auto"/>
              <w:rPr>
                <w:color w:val="auto"/>
                <w:lang w:eastAsia="zh-CN"/>
              </w:rPr>
            </w:pPr>
          </w:p>
          <w:p>
            <w:pPr>
              <w:pStyle w:val="8"/>
              <w:spacing w:before="61"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346" w:lineRule="auto"/>
              <w:rPr>
                <w:color w:val="auto"/>
                <w:lang w:eastAsia="zh-CN"/>
              </w:rPr>
            </w:pPr>
          </w:p>
          <w:p>
            <w:pPr>
              <w:spacing w:line="346"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57" w:line="261" w:lineRule="auto"/>
              <w:ind w:left="31" w:right="154" w:firstLine="12"/>
              <w:jc w:val="both"/>
              <w:rPr>
                <w:color w:val="auto"/>
                <w:lang w:eastAsia="zh-CN"/>
              </w:rPr>
            </w:pPr>
            <w:r>
              <w:rPr>
                <w:color w:val="auto"/>
                <w:spacing w:val="7"/>
                <w:lang w:eastAsia="zh-CN"/>
              </w:rPr>
              <w:t>医院注册的儿童康复科在岗医师人数</w:t>
            </w:r>
            <w:r>
              <w:rPr>
                <w:color w:val="auto"/>
                <w:spacing w:val="8"/>
                <w:lang w:eastAsia="zh-CN"/>
              </w:rPr>
              <w:t>与同期儿童康复科实际开放床位数之</w:t>
            </w:r>
            <w:r>
              <w:rPr>
                <w:color w:val="auto"/>
                <w:spacing w:val="-5"/>
                <w:lang w:eastAsia="zh-CN"/>
              </w:rPr>
              <w:t>比。</w:t>
            </w:r>
          </w:p>
        </w:tc>
        <w:tc>
          <w:tcPr>
            <w:tcW w:w="3527" w:type="dxa"/>
          </w:tcPr>
          <w:p>
            <w:pPr>
              <w:pStyle w:val="8"/>
              <w:spacing w:before="54" w:line="271" w:lineRule="auto"/>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医院注册的儿童康复科在岗医师人数</w:t>
            </w:r>
            <w:r>
              <w:rPr>
                <w:rFonts w:ascii="Times New Roman" w:hAnsi="Times New Roman" w:eastAsia="Times New Roman" w:cs="Times New Roman"/>
                <w:color w:val="auto"/>
                <w:spacing w:val="16"/>
                <w:lang w:eastAsia="zh-CN"/>
              </w:rPr>
              <w:t>/</w:t>
            </w:r>
            <w:r>
              <w:rPr>
                <w:color w:val="auto"/>
                <w:spacing w:val="7"/>
                <w:lang w:eastAsia="zh-CN"/>
              </w:rPr>
              <w:t>同期儿童康复科实际开放床位数</w:t>
            </w:r>
          </w:p>
        </w:tc>
        <w:tc>
          <w:tcPr>
            <w:tcW w:w="1167" w:type="dxa"/>
          </w:tcPr>
          <w:p>
            <w:pPr>
              <w:spacing w:line="346" w:lineRule="auto"/>
              <w:rPr>
                <w:color w:val="auto"/>
                <w:lang w:eastAsia="zh-CN"/>
              </w:rPr>
            </w:pPr>
          </w:p>
          <w:p>
            <w:pPr>
              <w:spacing w:line="347"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1056" w:type="dxa"/>
            <w:vMerge w:val="continue"/>
            <w:tcBorders>
              <w:top w:val="single" w:color="000000" w:sz="2" w:space="0"/>
              <w:bottom w:val="single" w:color="000000" w:sz="2" w:space="0"/>
            </w:tcBorders>
          </w:tcPr>
          <w:p>
            <w:pPr>
              <w:rPr>
                <w:color w:val="auto"/>
              </w:rPr>
            </w:pPr>
          </w:p>
        </w:tc>
        <w:tc>
          <w:tcPr>
            <w:tcW w:w="686" w:type="dxa"/>
            <w:vMerge w:val="continue"/>
            <w:tcBorders>
              <w:top w:val="single" w:color="000000" w:sz="2" w:space="0"/>
              <w:bottom w:val="single" w:color="000000" w:sz="2" w:space="0"/>
            </w:tcBorders>
          </w:tcPr>
          <w:p>
            <w:pPr>
              <w:rPr>
                <w:color w:val="auto"/>
              </w:rPr>
            </w:pPr>
          </w:p>
        </w:tc>
        <w:tc>
          <w:tcPr>
            <w:tcW w:w="822" w:type="dxa"/>
            <w:vMerge w:val="continue"/>
            <w:tcBorders>
              <w:top w:val="single" w:color="000000" w:sz="2" w:space="0"/>
              <w:bottom w:val="single" w:color="000000" w:sz="2" w:space="0"/>
            </w:tcBorders>
          </w:tcPr>
          <w:p>
            <w:pPr>
              <w:pStyle w:val="8"/>
              <w:spacing w:before="62" w:line="256" w:lineRule="auto"/>
              <w:ind w:left="27" w:right="52" w:hanging="13"/>
              <w:jc w:val="both"/>
              <w:rPr>
                <w:color w:val="auto"/>
              </w:rPr>
            </w:pPr>
          </w:p>
        </w:tc>
        <w:tc>
          <w:tcPr>
            <w:tcW w:w="1080" w:type="dxa"/>
            <w:tcBorders>
              <w:top w:val="single" w:color="000000" w:sz="2" w:space="0"/>
              <w:bottom w:val="single" w:color="000000" w:sz="2" w:space="0"/>
            </w:tcBorders>
          </w:tcPr>
          <w:p>
            <w:pPr>
              <w:pStyle w:val="8"/>
              <w:spacing w:before="60" w:line="262" w:lineRule="auto"/>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）儿童康</w:t>
            </w:r>
            <w:r>
              <w:rPr>
                <w:color w:val="auto"/>
                <w:spacing w:val="7"/>
                <w:lang w:eastAsia="zh-CN"/>
              </w:rPr>
              <w:t>复科护士人数与儿童康复科实际开放床位数比</w:t>
            </w:r>
          </w:p>
        </w:tc>
        <w:tc>
          <w:tcPr>
            <w:tcW w:w="1307" w:type="dxa"/>
          </w:tcPr>
          <w:p>
            <w:pPr>
              <w:spacing w:line="279" w:lineRule="auto"/>
              <w:rPr>
                <w:color w:val="auto"/>
                <w:lang w:eastAsia="zh-CN"/>
              </w:rPr>
            </w:pPr>
          </w:p>
          <w:p>
            <w:pPr>
              <w:pStyle w:val="8"/>
              <w:spacing w:before="62" w:line="256" w:lineRule="auto"/>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77" w:lineRule="auto"/>
              <w:rPr>
                <w:color w:val="auto"/>
                <w:lang w:eastAsia="zh-CN"/>
              </w:rPr>
            </w:pPr>
          </w:p>
          <w:p>
            <w:pPr>
              <w:spacing w:line="277"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60" w:line="260" w:lineRule="auto"/>
              <w:ind w:left="31" w:right="154" w:firstLine="12"/>
              <w:jc w:val="both"/>
              <w:rPr>
                <w:color w:val="auto"/>
                <w:lang w:eastAsia="zh-CN"/>
              </w:rPr>
            </w:pPr>
            <w:r>
              <w:rPr>
                <w:color w:val="auto"/>
                <w:spacing w:val="7"/>
                <w:lang w:eastAsia="zh-CN"/>
              </w:rPr>
              <w:t>医院注册的儿童康复科在岗护士人数</w:t>
            </w:r>
            <w:r>
              <w:rPr>
                <w:color w:val="auto"/>
                <w:spacing w:val="8"/>
                <w:lang w:eastAsia="zh-CN"/>
              </w:rPr>
              <w:t>与同期儿童康复科实际开放床位数之</w:t>
            </w:r>
            <w:r>
              <w:rPr>
                <w:color w:val="auto"/>
                <w:spacing w:val="-5"/>
                <w:lang w:eastAsia="zh-CN"/>
              </w:rPr>
              <w:t>比。</w:t>
            </w:r>
          </w:p>
        </w:tc>
        <w:tc>
          <w:tcPr>
            <w:tcW w:w="3527" w:type="dxa"/>
          </w:tcPr>
          <w:p>
            <w:pPr>
              <w:pStyle w:val="8"/>
              <w:spacing w:before="58" w:line="269" w:lineRule="auto"/>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医院注册的儿童康复科在岗护士人数</w:t>
            </w:r>
            <w:r>
              <w:rPr>
                <w:rFonts w:ascii="Times New Roman" w:hAnsi="Times New Roman" w:eastAsia="Times New Roman" w:cs="Times New Roman"/>
                <w:color w:val="auto"/>
                <w:spacing w:val="16"/>
                <w:lang w:eastAsia="zh-CN"/>
              </w:rPr>
              <w:t>/</w:t>
            </w:r>
            <w:r>
              <w:rPr>
                <w:color w:val="auto"/>
                <w:spacing w:val="7"/>
                <w:lang w:eastAsia="zh-CN"/>
              </w:rPr>
              <w:t>同期儿童康复科实际开放床位数</w:t>
            </w:r>
          </w:p>
        </w:tc>
        <w:tc>
          <w:tcPr>
            <w:tcW w:w="1167" w:type="dxa"/>
          </w:tcPr>
          <w:p>
            <w:pPr>
              <w:spacing w:line="277" w:lineRule="auto"/>
              <w:rPr>
                <w:color w:val="auto"/>
                <w:lang w:eastAsia="zh-CN"/>
              </w:rPr>
            </w:pPr>
          </w:p>
          <w:p>
            <w:pPr>
              <w:spacing w:line="277"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1" w:hRule="atLeast"/>
        </w:trPr>
        <w:tc>
          <w:tcPr>
            <w:tcW w:w="1056" w:type="dxa"/>
            <w:vMerge w:val="continue"/>
            <w:tcBorders>
              <w:top w:val="single" w:color="000000" w:sz="2" w:space="0"/>
              <w:bottom w:val="single" w:color="000000" w:sz="2" w:space="0"/>
            </w:tcBorders>
          </w:tcPr>
          <w:p>
            <w:pPr>
              <w:rPr>
                <w:color w:val="auto"/>
              </w:rPr>
            </w:pPr>
          </w:p>
        </w:tc>
        <w:tc>
          <w:tcPr>
            <w:tcW w:w="686" w:type="dxa"/>
            <w:vMerge w:val="continue"/>
            <w:tcBorders>
              <w:top w:val="single" w:color="000000" w:sz="2" w:space="0"/>
              <w:bottom w:val="single" w:color="000000" w:sz="2" w:space="0"/>
            </w:tcBorders>
          </w:tcPr>
          <w:p>
            <w:pPr>
              <w:rPr>
                <w:color w:val="auto"/>
              </w:rPr>
            </w:pPr>
          </w:p>
        </w:tc>
        <w:tc>
          <w:tcPr>
            <w:tcW w:w="822" w:type="dxa"/>
            <w:vMerge w:val="restart"/>
            <w:tcBorders>
              <w:top w:val="single" w:color="000000" w:sz="2" w:space="0"/>
              <w:bottom w:val="single" w:color="000000" w:sz="2" w:space="0"/>
            </w:tcBorders>
          </w:tcPr>
          <w:p>
            <w:pPr>
              <w:pStyle w:val="8"/>
              <w:spacing w:before="61" w:line="249" w:lineRule="auto"/>
              <w:ind w:left="12" w:right="52" w:firstLine="5"/>
              <w:rPr>
                <w:color w:val="auto"/>
              </w:rPr>
            </w:pPr>
            <w:r>
              <w:rPr>
                <w:rFonts w:hint="eastAsia" w:ascii="Times New Roman" w:hAnsi="Times New Roman" w:eastAsia="宋体" w:cs="Times New Roman"/>
                <w:color w:val="auto"/>
                <w:spacing w:val="4"/>
                <w:lang w:eastAsia="zh-CN"/>
              </w:rPr>
              <w:t>4</w:t>
            </w:r>
            <w:r>
              <w:rPr>
                <w:rFonts w:ascii="Times New Roman" w:hAnsi="Times New Roman" w:eastAsia="Times New Roman" w:cs="Times New Roman"/>
                <w:color w:val="auto"/>
                <w:spacing w:val="4"/>
              </w:rPr>
              <w:t>.</w:t>
            </w:r>
            <w:r>
              <w:rPr>
                <w:color w:val="auto"/>
                <w:spacing w:val="4"/>
              </w:rPr>
              <w:t>老年</w:t>
            </w:r>
            <w:r>
              <w:rPr>
                <w:color w:val="auto"/>
                <w:spacing w:val="9"/>
              </w:rPr>
              <w:t>康复科</w:t>
            </w:r>
          </w:p>
          <w:p>
            <w:pPr>
              <w:rPr>
                <w:color w:val="auto"/>
              </w:rPr>
            </w:pPr>
          </w:p>
        </w:tc>
        <w:tc>
          <w:tcPr>
            <w:tcW w:w="1080" w:type="dxa"/>
            <w:tcBorders>
              <w:top w:val="single" w:color="000000" w:sz="2" w:space="0"/>
              <w:bottom w:val="single" w:color="000000" w:sz="2" w:space="0"/>
            </w:tcBorders>
          </w:tcPr>
          <w:p>
            <w:pPr>
              <w:pStyle w:val="8"/>
              <w:spacing w:before="64" w:line="262" w:lineRule="auto"/>
              <w:ind w:left="14" w:right="1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）老年康</w:t>
            </w:r>
            <w:r>
              <w:rPr>
                <w:color w:val="auto"/>
                <w:spacing w:val="8"/>
                <w:lang w:eastAsia="zh-CN"/>
              </w:rPr>
              <w:t>复科开放床位数占医院实际开放床位数的比例</w:t>
            </w:r>
          </w:p>
        </w:tc>
        <w:tc>
          <w:tcPr>
            <w:tcW w:w="1307" w:type="dxa"/>
          </w:tcPr>
          <w:p>
            <w:pPr>
              <w:spacing w:line="395" w:lineRule="auto"/>
              <w:rPr>
                <w:color w:val="auto"/>
                <w:lang w:eastAsia="zh-CN"/>
              </w:rPr>
            </w:pPr>
          </w:p>
          <w:p>
            <w:pPr>
              <w:pStyle w:val="8"/>
              <w:spacing w:before="62"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332" w:lineRule="auto"/>
              <w:rPr>
                <w:color w:val="auto"/>
                <w:lang w:eastAsia="zh-CN"/>
              </w:rPr>
            </w:pPr>
          </w:p>
          <w:p>
            <w:pPr>
              <w:spacing w:line="333" w:lineRule="auto"/>
              <w:rPr>
                <w:color w:val="auto"/>
                <w:lang w:eastAsia="zh-CN"/>
              </w:rPr>
            </w:pPr>
          </w:p>
          <w:p>
            <w:pPr>
              <w:pStyle w:val="8"/>
              <w:spacing w:before="61"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2" w:line="248" w:lineRule="auto"/>
              <w:ind w:left="36" w:right="154" w:hanging="16"/>
              <w:rPr>
                <w:color w:val="auto"/>
                <w:lang w:eastAsia="zh-CN"/>
              </w:rPr>
            </w:pPr>
            <w:r>
              <w:rPr>
                <w:color w:val="auto"/>
                <w:spacing w:val="9"/>
                <w:lang w:eastAsia="zh-CN"/>
              </w:rPr>
              <w:t>老年康复科开放床位数占同期医院实</w:t>
            </w:r>
            <w:r>
              <w:rPr>
                <w:color w:val="auto"/>
                <w:spacing w:val="6"/>
                <w:lang w:eastAsia="zh-CN"/>
              </w:rPr>
              <w:t>际开放床位数的比例。</w:t>
            </w:r>
          </w:p>
        </w:tc>
        <w:tc>
          <w:tcPr>
            <w:tcW w:w="3527" w:type="dxa"/>
          </w:tcPr>
          <w:p>
            <w:pPr>
              <w:pStyle w:val="8"/>
              <w:spacing w:before="56" w:line="289" w:lineRule="auto"/>
              <w:ind w:left="27" w:right="9"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老年康复科开放床位数</w:t>
            </w:r>
            <w:r>
              <w:rPr>
                <w:rFonts w:ascii="Times New Roman" w:hAnsi="Times New Roman" w:eastAsia="Times New Roman" w:cs="Times New Roman"/>
                <w:color w:val="auto"/>
                <w:spacing w:val="16"/>
                <w:lang w:eastAsia="zh-CN"/>
              </w:rPr>
              <w:t>/</w:t>
            </w:r>
            <w:r>
              <w:rPr>
                <w:color w:val="auto"/>
                <w:spacing w:val="16"/>
                <w:lang w:eastAsia="zh-CN"/>
              </w:rPr>
              <w:t>同期医院实际</w:t>
            </w:r>
            <w:r>
              <w:rPr>
                <w:color w:val="auto"/>
                <w:spacing w:val="4"/>
                <w:lang w:eastAsia="zh-CN"/>
              </w:rPr>
              <w:t>开放床位数</w:t>
            </w:r>
            <w:r>
              <w:rPr>
                <w:rFonts w:ascii="Times New Roman" w:hAnsi="Times New Roman" w:eastAsia="Times New Roman" w:cs="Times New Roman"/>
                <w:color w:val="auto"/>
                <w:spacing w:val="4"/>
                <w:lang w:eastAsia="zh-CN"/>
              </w:rPr>
              <w:t>×100%</w:t>
            </w:r>
          </w:p>
        </w:tc>
        <w:tc>
          <w:tcPr>
            <w:tcW w:w="1167" w:type="dxa"/>
          </w:tcPr>
          <w:p>
            <w:pPr>
              <w:spacing w:line="347" w:lineRule="auto"/>
              <w:rPr>
                <w:color w:val="auto"/>
                <w:lang w:eastAsia="zh-CN"/>
              </w:rPr>
            </w:pPr>
          </w:p>
          <w:p>
            <w:pPr>
              <w:spacing w:line="347" w:lineRule="auto"/>
              <w:rPr>
                <w:color w:val="auto"/>
                <w:lang w:eastAsia="zh-CN"/>
              </w:rPr>
            </w:pPr>
          </w:p>
          <w:p>
            <w:pPr>
              <w:pStyle w:val="8"/>
              <w:spacing w:before="62" w:line="226" w:lineRule="auto"/>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1056" w:type="dxa"/>
            <w:vMerge w:val="continue"/>
            <w:tcBorders>
              <w:top w:val="single" w:color="000000" w:sz="2" w:space="0"/>
            </w:tcBorders>
          </w:tcPr>
          <w:p>
            <w:pPr>
              <w:rPr>
                <w:color w:val="auto"/>
              </w:rPr>
            </w:pPr>
          </w:p>
        </w:tc>
        <w:tc>
          <w:tcPr>
            <w:tcW w:w="686" w:type="dxa"/>
            <w:vMerge w:val="continue"/>
            <w:tcBorders>
              <w:top w:val="single" w:color="000000" w:sz="2" w:space="0"/>
            </w:tcBorders>
          </w:tcPr>
          <w:p>
            <w:pPr>
              <w:rPr>
                <w:color w:val="auto"/>
              </w:rPr>
            </w:pPr>
          </w:p>
        </w:tc>
        <w:tc>
          <w:tcPr>
            <w:tcW w:w="822" w:type="dxa"/>
            <w:vMerge w:val="continue"/>
            <w:tcBorders>
              <w:top w:val="single" w:color="000000" w:sz="2" w:space="0"/>
            </w:tcBorders>
          </w:tcPr>
          <w:p>
            <w:pPr>
              <w:rPr>
                <w:color w:val="auto"/>
              </w:rPr>
            </w:pPr>
          </w:p>
        </w:tc>
        <w:tc>
          <w:tcPr>
            <w:tcW w:w="1080" w:type="dxa"/>
            <w:tcBorders>
              <w:top w:val="single" w:color="000000" w:sz="2" w:space="0"/>
            </w:tcBorders>
          </w:tcPr>
          <w:p>
            <w:pPr>
              <w:pStyle w:val="8"/>
              <w:spacing w:before="61" w:line="263" w:lineRule="auto"/>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）老年康</w:t>
            </w:r>
            <w:r>
              <w:rPr>
                <w:color w:val="auto"/>
                <w:spacing w:val="7"/>
                <w:lang w:eastAsia="zh-CN"/>
              </w:rPr>
              <w:t>复科医师人数与老年康复科实际开放床位数比</w:t>
            </w:r>
          </w:p>
        </w:tc>
        <w:tc>
          <w:tcPr>
            <w:tcW w:w="1307" w:type="dxa"/>
          </w:tcPr>
          <w:p>
            <w:pPr>
              <w:spacing w:line="398" w:lineRule="auto"/>
              <w:rPr>
                <w:color w:val="auto"/>
                <w:lang w:eastAsia="zh-CN"/>
              </w:rPr>
            </w:pPr>
          </w:p>
          <w:p>
            <w:pPr>
              <w:pStyle w:val="8"/>
              <w:spacing w:before="61" w:line="270" w:lineRule="auto"/>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348" w:lineRule="auto"/>
              <w:rPr>
                <w:color w:val="auto"/>
                <w:lang w:eastAsia="zh-CN"/>
              </w:rPr>
            </w:pPr>
          </w:p>
          <w:p>
            <w:pPr>
              <w:spacing w:line="348" w:lineRule="auto"/>
              <w:rPr>
                <w:color w:val="auto"/>
                <w:lang w:eastAsia="zh-CN"/>
              </w:rPr>
            </w:pPr>
          </w:p>
          <w:p>
            <w:pPr>
              <w:pStyle w:val="8"/>
              <w:spacing w:before="62" w:line="227" w:lineRule="auto"/>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61" w:line="260" w:lineRule="auto"/>
              <w:ind w:left="25" w:right="154" w:firstLine="18"/>
              <w:jc w:val="both"/>
              <w:rPr>
                <w:color w:val="auto"/>
                <w:lang w:eastAsia="zh-CN"/>
              </w:rPr>
            </w:pPr>
            <w:r>
              <w:rPr>
                <w:color w:val="auto"/>
                <w:spacing w:val="7"/>
                <w:lang w:eastAsia="zh-CN"/>
              </w:rPr>
              <w:t>医院注册的老年康复科在岗的医师人</w:t>
            </w:r>
            <w:r>
              <w:rPr>
                <w:color w:val="auto"/>
                <w:spacing w:val="9"/>
                <w:lang w:eastAsia="zh-CN"/>
              </w:rPr>
              <w:t>数与同期老年康复科实际开放床位数</w:t>
            </w:r>
            <w:r>
              <w:rPr>
                <w:color w:val="auto"/>
                <w:spacing w:val="1"/>
                <w:lang w:eastAsia="zh-CN"/>
              </w:rPr>
              <w:t>之比。</w:t>
            </w:r>
          </w:p>
        </w:tc>
        <w:tc>
          <w:tcPr>
            <w:tcW w:w="3527" w:type="dxa"/>
          </w:tcPr>
          <w:p>
            <w:pPr>
              <w:pStyle w:val="8"/>
              <w:spacing w:before="59" w:line="269" w:lineRule="auto"/>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医院注册的老年康复科在岗医师人数</w:t>
            </w:r>
            <w:r>
              <w:rPr>
                <w:rFonts w:ascii="Times New Roman" w:hAnsi="Times New Roman" w:eastAsia="Times New Roman" w:cs="Times New Roman"/>
                <w:color w:val="auto"/>
                <w:spacing w:val="16"/>
                <w:lang w:eastAsia="zh-CN"/>
              </w:rPr>
              <w:t>/</w:t>
            </w:r>
            <w:r>
              <w:rPr>
                <w:color w:val="auto"/>
                <w:spacing w:val="7"/>
                <w:lang w:eastAsia="zh-CN"/>
              </w:rPr>
              <w:t>同期老年康复科实际开放床位数</w:t>
            </w:r>
          </w:p>
        </w:tc>
        <w:tc>
          <w:tcPr>
            <w:tcW w:w="1167" w:type="dxa"/>
          </w:tcPr>
          <w:p>
            <w:pPr>
              <w:spacing w:line="348" w:lineRule="auto"/>
              <w:rPr>
                <w:color w:val="auto"/>
                <w:lang w:eastAsia="zh-CN"/>
              </w:rPr>
            </w:pPr>
          </w:p>
          <w:p>
            <w:pPr>
              <w:spacing w:line="349" w:lineRule="auto"/>
              <w:rPr>
                <w:color w:val="auto"/>
                <w:lang w:eastAsia="zh-CN"/>
              </w:rPr>
            </w:pPr>
          </w:p>
          <w:p>
            <w:pPr>
              <w:pStyle w:val="8"/>
              <w:spacing w:before="62" w:line="226" w:lineRule="auto"/>
              <w:ind w:left="194"/>
              <w:rPr>
                <w:color w:val="auto"/>
              </w:rPr>
            </w:pPr>
            <w:r>
              <w:rPr>
                <w:color w:val="auto"/>
                <w:spacing w:val="6"/>
              </w:rPr>
              <w:t>监测达标</w:t>
            </w:r>
          </w:p>
        </w:tc>
      </w:tr>
    </w:tbl>
    <w:p>
      <w:pPr>
        <w:rPr>
          <w:color w:val="auto"/>
        </w:rPr>
        <w:sectPr>
          <w:footerReference r:id="rId15" w:type="default"/>
          <w:pgSz w:w="16839" w:h="11906"/>
          <w:pgMar w:top="1012" w:right="1386" w:bottom="1494" w:left="1386" w:header="0" w:footer="1332" w:gutter="0"/>
          <w:pgNumType w:fmt="numberInDash"/>
          <w:cols w:space="720" w:num="1"/>
        </w:sect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69"/>
        <w:gridCol w:w="1080"/>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56" w:type="dxa"/>
            <w:vMerge w:val="restart"/>
            <w:tcBorders>
              <w:bottom w:val="nil"/>
            </w:tcBorders>
          </w:tcPr>
          <w:p>
            <w:pPr>
              <w:spacing w:line="240" w:lineRule="exact"/>
              <w:rPr>
                <w:color w:val="auto"/>
              </w:rPr>
            </w:pPr>
          </w:p>
        </w:tc>
        <w:tc>
          <w:tcPr>
            <w:tcW w:w="839" w:type="dxa"/>
            <w:vMerge w:val="restart"/>
            <w:tcBorders>
              <w:bottom w:val="nil"/>
            </w:tcBorders>
          </w:tcPr>
          <w:p>
            <w:pPr>
              <w:spacing w:line="240" w:lineRule="exact"/>
              <w:rPr>
                <w:color w:val="auto"/>
              </w:rPr>
            </w:pPr>
          </w:p>
        </w:tc>
        <w:tc>
          <w:tcPr>
            <w:tcW w:w="669" w:type="dxa"/>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）老年康</w:t>
            </w:r>
            <w:r>
              <w:rPr>
                <w:color w:val="auto"/>
                <w:spacing w:val="7"/>
                <w:lang w:eastAsia="zh-CN"/>
              </w:rPr>
              <w:t>复科护士人数与老年康复科实际开放床位数比</w:t>
            </w:r>
          </w:p>
        </w:tc>
        <w:tc>
          <w:tcPr>
            <w:tcW w:w="1307" w:type="dxa"/>
          </w:tcPr>
          <w:p>
            <w:pPr>
              <w:spacing w:line="240" w:lineRule="exact"/>
              <w:rPr>
                <w:color w:val="auto"/>
                <w:lang w:eastAsia="zh-CN"/>
              </w:rPr>
            </w:pPr>
          </w:p>
          <w:p>
            <w:pPr>
              <w:pStyle w:val="8"/>
              <w:spacing w:before="0" w:line="240" w:lineRule="exact"/>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31" w:right="154" w:firstLine="12"/>
              <w:jc w:val="both"/>
              <w:rPr>
                <w:color w:val="auto"/>
                <w:lang w:eastAsia="zh-CN"/>
              </w:rPr>
            </w:pPr>
            <w:r>
              <w:rPr>
                <w:color w:val="auto"/>
                <w:spacing w:val="7"/>
                <w:lang w:eastAsia="zh-CN"/>
              </w:rPr>
              <w:t>医院注册的老年康复科在岗护士人数</w:t>
            </w:r>
            <w:r>
              <w:rPr>
                <w:color w:val="auto"/>
                <w:spacing w:val="8"/>
                <w:lang w:eastAsia="zh-CN"/>
              </w:rPr>
              <w:t>与同期老年康复科实际开放床位数之</w:t>
            </w:r>
            <w:r>
              <w:rPr>
                <w:color w:val="auto"/>
                <w:spacing w:val="-5"/>
                <w:lang w:eastAsia="zh-CN"/>
              </w:rPr>
              <w:t>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医院注册的老年康复科在岗护士人数</w:t>
            </w:r>
            <w:r>
              <w:rPr>
                <w:rFonts w:ascii="Times New Roman" w:hAnsi="Times New Roman" w:eastAsia="Times New Roman" w:cs="Times New Roman"/>
                <w:color w:val="auto"/>
                <w:spacing w:val="16"/>
                <w:lang w:eastAsia="zh-CN"/>
              </w:rPr>
              <w:t>/</w:t>
            </w:r>
            <w:r>
              <w:rPr>
                <w:color w:val="auto"/>
                <w:spacing w:val="7"/>
                <w:lang w:eastAsia="zh-CN"/>
              </w:rPr>
              <w:t>同期老年康复科实际开放床位数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restart"/>
            <w:tcBorders>
              <w:bottom w:val="nil"/>
            </w:tcBorders>
          </w:tcPr>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2" w:right="52" w:firstLine="10"/>
              <w:rPr>
                <w:color w:val="auto"/>
              </w:rPr>
            </w:pPr>
            <w:r>
              <w:rPr>
                <w:rFonts w:hint="eastAsia" w:ascii="Times New Roman" w:hAnsi="Times New Roman" w:eastAsia="宋体" w:cs="Times New Roman"/>
                <w:color w:val="auto"/>
                <w:spacing w:val="3"/>
                <w:lang w:eastAsia="zh-CN"/>
              </w:rPr>
              <w:t>5</w:t>
            </w:r>
            <w:r>
              <w:rPr>
                <w:rFonts w:ascii="Times New Roman" w:hAnsi="Times New Roman" w:eastAsia="Times New Roman" w:cs="Times New Roman"/>
                <w:color w:val="auto"/>
                <w:spacing w:val="3"/>
              </w:rPr>
              <w:t>.</w:t>
            </w:r>
            <w:r>
              <w:rPr>
                <w:color w:val="auto"/>
                <w:spacing w:val="3"/>
              </w:rPr>
              <w:t>心肺</w:t>
            </w:r>
            <w:r>
              <w:rPr>
                <w:color w:val="auto"/>
                <w:spacing w:val="9"/>
              </w:rPr>
              <w:t>康复科</w:t>
            </w:r>
          </w:p>
        </w:tc>
        <w:tc>
          <w:tcPr>
            <w:tcW w:w="1080" w:type="dxa"/>
          </w:tcPr>
          <w:p>
            <w:pPr>
              <w:pStyle w:val="8"/>
              <w:spacing w:before="0" w:line="240" w:lineRule="exact"/>
              <w:ind w:left="14" w:right="1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）心肺康</w:t>
            </w:r>
            <w:r>
              <w:rPr>
                <w:color w:val="auto"/>
                <w:spacing w:val="8"/>
                <w:lang w:eastAsia="zh-CN"/>
              </w:rPr>
              <w:t>复科开放床位数占医院实际开放床位数的比例</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36" w:right="154" w:hanging="10"/>
              <w:rPr>
                <w:color w:val="auto"/>
                <w:lang w:eastAsia="zh-CN"/>
              </w:rPr>
            </w:pPr>
            <w:r>
              <w:rPr>
                <w:color w:val="auto"/>
                <w:spacing w:val="9"/>
                <w:lang w:eastAsia="zh-CN"/>
              </w:rPr>
              <w:t>心肺康复科开放床位数占同期医院实</w:t>
            </w:r>
            <w:r>
              <w:rPr>
                <w:color w:val="auto"/>
                <w:spacing w:val="6"/>
                <w:lang w:eastAsia="zh-CN"/>
              </w:rPr>
              <w:t>际开放床位数的比例。</w:t>
            </w:r>
          </w:p>
        </w:tc>
        <w:tc>
          <w:tcPr>
            <w:tcW w:w="3527" w:type="dxa"/>
          </w:tcPr>
          <w:p>
            <w:pPr>
              <w:pStyle w:val="8"/>
              <w:spacing w:before="0" w:line="240" w:lineRule="exact"/>
              <w:ind w:left="27" w:right="9"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5"/>
                <w:lang w:eastAsia="zh-CN"/>
              </w:rPr>
              <w:t>=</w:t>
            </w:r>
            <w:r>
              <w:rPr>
                <w:color w:val="auto"/>
                <w:spacing w:val="15"/>
                <w:lang w:eastAsia="zh-CN"/>
              </w:rPr>
              <w:t>心肺康复科开放床位数</w:t>
            </w:r>
            <w:r>
              <w:rPr>
                <w:rFonts w:ascii="Times New Roman" w:hAnsi="Times New Roman" w:eastAsia="Times New Roman" w:cs="Times New Roman"/>
                <w:color w:val="auto"/>
                <w:spacing w:val="15"/>
                <w:lang w:eastAsia="zh-CN"/>
              </w:rPr>
              <w:t>/</w:t>
            </w:r>
            <w:r>
              <w:rPr>
                <w:color w:val="auto"/>
                <w:spacing w:val="15"/>
                <w:lang w:eastAsia="zh-CN"/>
              </w:rPr>
              <w:t>同期医院实际</w:t>
            </w:r>
            <w:r>
              <w:rPr>
                <w:color w:val="auto"/>
                <w:spacing w:val="4"/>
                <w:lang w:eastAsia="zh-CN"/>
              </w:rPr>
              <w:t>开放床位数</w:t>
            </w:r>
            <w:r>
              <w:rPr>
                <w:rFonts w:ascii="Times New Roman" w:hAnsi="Times New Roman" w:eastAsia="Times New Roman" w:cs="Times New Roman"/>
                <w:color w:val="auto"/>
                <w:spacing w:val="4"/>
                <w:lang w:eastAsia="zh-CN"/>
              </w:rPr>
              <w:t>×100%</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continue"/>
            <w:tcBorders>
              <w:top w:val="nil"/>
              <w:bottom w:val="nil"/>
            </w:tcBorders>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）心肺康</w:t>
            </w:r>
            <w:r>
              <w:rPr>
                <w:color w:val="auto"/>
                <w:spacing w:val="7"/>
                <w:lang w:eastAsia="zh-CN"/>
              </w:rPr>
              <w:t>复科医师人数与心肺康复科实际开放床位数比</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25" w:right="154" w:firstLine="18"/>
              <w:jc w:val="both"/>
              <w:rPr>
                <w:color w:val="auto"/>
                <w:lang w:eastAsia="zh-CN"/>
              </w:rPr>
            </w:pPr>
            <w:r>
              <w:rPr>
                <w:color w:val="auto"/>
                <w:spacing w:val="7"/>
                <w:lang w:eastAsia="zh-CN"/>
              </w:rPr>
              <w:t>医院注册的心肺康复科在岗的医师人</w:t>
            </w:r>
            <w:r>
              <w:rPr>
                <w:color w:val="auto"/>
                <w:spacing w:val="9"/>
                <w:lang w:eastAsia="zh-CN"/>
              </w:rPr>
              <w:t>数与同期心肺康复科实际开放床位数</w:t>
            </w:r>
            <w:r>
              <w:rPr>
                <w:color w:val="auto"/>
                <w:spacing w:val="1"/>
                <w:lang w:eastAsia="zh-CN"/>
              </w:rPr>
              <w:t>之比。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医院注册的心肺康复科在岗医师人数</w:t>
            </w:r>
            <w:r>
              <w:rPr>
                <w:rFonts w:ascii="Times New Roman" w:hAnsi="Times New Roman" w:eastAsia="Times New Roman" w:cs="Times New Roman"/>
                <w:color w:val="auto"/>
                <w:spacing w:val="16"/>
                <w:lang w:eastAsia="zh-CN"/>
              </w:rPr>
              <w:t>/</w:t>
            </w:r>
            <w:r>
              <w:rPr>
                <w:color w:val="auto"/>
                <w:spacing w:val="7"/>
                <w:lang w:eastAsia="zh-CN"/>
              </w:rPr>
              <w:t>同期心肺康复科实际开放床位数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continue"/>
            <w:tcBorders>
              <w:top w:val="nil"/>
            </w:tcBorders>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）心肺康</w:t>
            </w:r>
            <w:r>
              <w:rPr>
                <w:color w:val="auto"/>
                <w:spacing w:val="7"/>
                <w:lang w:eastAsia="zh-CN"/>
              </w:rPr>
              <w:t>复科护士人数与心肺康复科实际开放床位数比</w:t>
            </w:r>
          </w:p>
        </w:tc>
        <w:tc>
          <w:tcPr>
            <w:tcW w:w="1307" w:type="dxa"/>
          </w:tcPr>
          <w:p>
            <w:pPr>
              <w:spacing w:line="240" w:lineRule="exact"/>
              <w:rPr>
                <w:color w:val="auto"/>
                <w:lang w:eastAsia="zh-CN"/>
              </w:rPr>
            </w:pPr>
          </w:p>
          <w:p>
            <w:pPr>
              <w:pStyle w:val="8"/>
              <w:spacing w:before="0" w:line="240" w:lineRule="exact"/>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31" w:right="154" w:firstLine="12"/>
              <w:jc w:val="both"/>
              <w:rPr>
                <w:color w:val="auto"/>
                <w:lang w:eastAsia="zh-CN"/>
              </w:rPr>
            </w:pPr>
            <w:r>
              <w:rPr>
                <w:color w:val="auto"/>
                <w:spacing w:val="7"/>
                <w:lang w:eastAsia="zh-CN"/>
              </w:rPr>
              <w:t>医院注册的心肺康复科在岗护士人数</w:t>
            </w:r>
            <w:r>
              <w:rPr>
                <w:color w:val="auto"/>
                <w:spacing w:val="8"/>
                <w:lang w:eastAsia="zh-CN"/>
              </w:rPr>
              <w:t>与同期心肺康复科实际开放床位数之</w:t>
            </w:r>
            <w:r>
              <w:rPr>
                <w:color w:val="auto"/>
                <w:spacing w:val="-5"/>
                <w:lang w:eastAsia="zh-CN"/>
              </w:rPr>
              <w:t>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医院注册的心肺康复科在岗护士人数</w:t>
            </w:r>
            <w:r>
              <w:rPr>
                <w:rFonts w:ascii="Times New Roman" w:hAnsi="Times New Roman" w:eastAsia="Times New Roman" w:cs="Times New Roman"/>
                <w:color w:val="auto"/>
                <w:spacing w:val="16"/>
                <w:lang w:eastAsia="zh-CN"/>
              </w:rPr>
              <w:t>/</w:t>
            </w:r>
            <w:r>
              <w:rPr>
                <w:color w:val="auto"/>
                <w:spacing w:val="7"/>
                <w:lang w:eastAsia="zh-CN"/>
              </w:rPr>
              <w:t>同期心肺康复科实际开放床位数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1056" w:type="dxa"/>
            <w:vMerge w:val="continue"/>
            <w:tcBorders>
              <w:top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669" w:type="dxa"/>
          </w:tcPr>
          <w:p>
            <w:pPr>
              <w:spacing w:line="240" w:lineRule="exact"/>
              <w:rPr>
                <w:color w:val="auto"/>
              </w:rPr>
            </w:pPr>
          </w:p>
          <w:p>
            <w:pPr>
              <w:spacing w:line="240" w:lineRule="exact"/>
              <w:rPr>
                <w:color w:val="auto"/>
              </w:rPr>
            </w:pPr>
          </w:p>
          <w:p>
            <w:pPr>
              <w:pStyle w:val="8"/>
              <w:spacing w:before="0" w:line="240" w:lineRule="exact"/>
              <w:ind w:left="12" w:right="52" w:firstLine="6"/>
              <w:rPr>
                <w:color w:val="auto"/>
              </w:rPr>
            </w:pPr>
            <w:r>
              <w:rPr>
                <w:rFonts w:hint="eastAsia" w:ascii="Times New Roman" w:hAnsi="Times New Roman" w:eastAsia="宋体" w:cs="Times New Roman"/>
                <w:color w:val="auto"/>
                <w:spacing w:val="4"/>
                <w:lang w:eastAsia="zh-CN"/>
              </w:rPr>
              <w:t>6</w:t>
            </w:r>
            <w:r>
              <w:rPr>
                <w:rFonts w:ascii="Times New Roman" w:hAnsi="Times New Roman" w:eastAsia="Times New Roman" w:cs="Times New Roman"/>
                <w:color w:val="auto"/>
                <w:spacing w:val="4"/>
              </w:rPr>
              <w:t>.</w:t>
            </w:r>
            <w:r>
              <w:rPr>
                <w:color w:val="auto"/>
                <w:spacing w:val="4"/>
              </w:rPr>
              <w:t>疼痛</w:t>
            </w:r>
            <w:r>
              <w:rPr>
                <w:color w:val="auto"/>
                <w:spacing w:val="9"/>
              </w:rPr>
              <w:t>康复科</w:t>
            </w:r>
          </w:p>
        </w:tc>
        <w:tc>
          <w:tcPr>
            <w:tcW w:w="1080" w:type="dxa"/>
          </w:tcPr>
          <w:p>
            <w:pPr>
              <w:pStyle w:val="8"/>
              <w:spacing w:before="0" w:line="240" w:lineRule="exact"/>
              <w:ind w:left="14" w:right="1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）疼痛康</w:t>
            </w:r>
            <w:r>
              <w:rPr>
                <w:color w:val="auto"/>
                <w:spacing w:val="8"/>
                <w:lang w:eastAsia="zh-CN"/>
              </w:rPr>
              <w:t>复科开放床位数占医院实际开放床位数的比例</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36" w:right="154" w:hanging="17"/>
              <w:rPr>
                <w:color w:val="auto"/>
                <w:lang w:eastAsia="zh-CN"/>
              </w:rPr>
            </w:pPr>
            <w:r>
              <w:rPr>
                <w:color w:val="auto"/>
                <w:spacing w:val="9"/>
                <w:lang w:eastAsia="zh-CN"/>
              </w:rPr>
              <w:t>疼痛康复科开放床位数占同期医院实</w:t>
            </w:r>
            <w:r>
              <w:rPr>
                <w:color w:val="auto"/>
                <w:spacing w:val="6"/>
                <w:lang w:eastAsia="zh-CN"/>
              </w:rPr>
              <w:t>际开放床位数的比例。</w:t>
            </w:r>
          </w:p>
        </w:tc>
        <w:tc>
          <w:tcPr>
            <w:tcW w:w="3527" w:type="dxa"/>
          </w:tcPr>
          <w:p>
            <w:pPr>
              <w:pStyle w:val="8"/>
              <w:spacing w:before="0" w:line="240" w:lineRule="exact"/>
              <w:ind w:left="27" w:right="9"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疼痛康复科开放床位数</w:t>
            </w:r>
            <w:r>
              <w:rPr>
                <w:rFonts w:ascii="Times New Roman" w:hAnsi="Times New Roman" w:eastAsia="Times New Roman" w:cs="Times New Roman"/>
                <w:color w:val="auto"/>
                <w:spacing w:val="16"/>
                <w:lang w:eastAsia="zh-CN"/>
              </w:rPr>
              <w:t>/</w:t>
            </w:r>
            <w:r>
              <w:rPr>
                <w:color w:val="auto"/>
                <w:spacing w:val="16"/>
                <w:lang w:eastAsia="zh-CN"/>
              </w:rPr>
              <w:t>同期医院实际</w:t>
            </w:r>
            <w:r>
              <w:rPr>
                <w:color w:val="auto"/>
                <w:spacing w:val="4"/>
                <w:lang w:eastAsia="zh-CN"/>
              </w:rPr>
              <w:t>开放床位数</w:t>
            </w:r>
            <w:r>
              <w:rPr>
                <w:rFonts w:ascii="Times New Roman" w:hAnsi="Times New Roman" w:eastAsia="Times New Roman" w:cs="Times New Roman"/>
                <w:color w:val="auto"/>
                <w:spacing w:val="4"/>
                <w:lang w:eastAsia="zh-CN"/>
              </w:rPr>
              <w:t>×100%</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bl>
    <w:p>
      <w:pPr>
        <w:rPr>
          <w:color w:val="auto"/>
        </w:rPr>
      </w:pPr>
    </w:p>
    <w:p>
      <w:pPr>
        <w:rPr>
          <w:color w:val="auto"/>
        </w:rPr>
        <w:sectPr>
          <w:footerReference r:id="rId16"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69"/>
        <w:gridCol w:w="1080"/>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restart"/>
            <w:tcBorders>
              <w:bottom w:val="nil"/>
            </w:tcBorders>
          </w:tcPr>
          <w:p>
            <w:pPr>
              <w:spacing w:line="240" w:lineRule="exact"/>
              <w:rPr>
                <w:color w:val="auto"/>
              </w:rPr>
            </w:pPr>
          </w:p>
        </w:tc>
        <w:tc>
          <w:tcPr>
            <w:tcW w:w="839" w:type="dxa"/>
            <w:vMerge w:val="restart"/>
            <w:tcBorders>
              <w:bottom w:val="nil"/>
            </w:tcBorders>
          </w:tcPr>
          <w:p>
            <w:pPr>
              <w:spacing w:line="240" w:lineRule="exact"/>
              <w:rPr>
                <w:color w:val="auto"/>
              </w:rPr>
            </w:pPr>
          </w:p>
        </w:tc>
        <w:tc>
          <w:tcPr>
            <w:tcW w:w="669" w:type="dxa"/>
            <w:vMerge w:val="restart"/>
            <w:tcBorders>
              <w:bottom w:val="nil"/>
            </w:tcBorders>
          </w:tcPr>
          <w:p>
            <w:pPr>
              <w:spacing w:line="240" w:lineRule="exact"/>
              <w:rPr>
                <w:color w:val="auto"/>
              </w:rPr>
            </w:pPr>
          </w:p>
        </w:tc>
        <w:tc>
          <w:tcPr>
            <w:tcW w:w="1080" w:type="dxa"/>
          </w:tcPr>
          <w:p>
            <w:pPr>
              <w:pStyle w:val="8"/>
              <w:spacing w:before="0" w:line="240" w:lineRule="exact"/>
              <w:ind w:left="14" w:right="14"/>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）疼痛康</w:t>
            </w:r>
            <w:r>
              <w:rPr>
                <w:color w:val="auto"/>
                <w:spacing w:val="8"/>
                <w:lang w:eastAsia="zh-CN"/>
              </w:rPr>
              <w:t>复科医师人数与疼痛康复科开放床位数比</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25" w:right="154" w:firstLine="18"/>
              <w:jc w:val="both"/>
              <w:rPr>
                <w:color w:val="auto"/>
                <w:lang w:eastAsia="zh-CN"/>
              </w:rPr>
            </w:pPr>
            <w:r>
              <w:rPr>
                <w:color w:val="auto"/>
                <w:spacing w:val="7"/>
                <w:lang w:eastAsia="zh-CN"/>
              </w:rPr>
              <w:t>医院注册的疼痛康复科在岗的医师人</w:t>
            </w:r>
            <w:r>
              <w:rPr>
                <w:color w:val="auto"/>
                <w:spacing w:val="9"/>
                <w:lang w:eastAsia="zh-CN"/>
              </w:rPr>
              <w:t>数与同期疼痛康复科实际开放床位数</w:t>
            </w:r>
            <w:r>
              <w:rPr>
                <w:color w:val="auto"/>
                <w:spacing w:val="1"/>
                <w:lang w:eastAsia="zh-CN"/>
              </w:rPr>
              <w:t>之比。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医院注册的疼痛康复科在岗医师人数</w:t>
            </w:r>
            <w:r>
              <w:rPr>
                <w:rFonts w:ascii="Times New Roman" w:hAnsi="Times New Roman" w:eastAsia="Times New Roman" w:cs="Times New Roman"/>
                <w:color w:val="auto"/>
                <w:spacing w:val="16"/>
                <w:lang w:eastAsia="zh-CN"/>
              </w:rPr>
              <w:t>/</w:t>
            </w:r>
            <w:r>
              <w:rPr>
                <w:color w:val="auto"/>
                <w:spacing w:val="7"/>
                <w:lang w:eastAsia="zh-CN"/>
              </w:rPr>
              <w:t>同期疼痛康复科实际开放床位数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continue"/>
            <w:tcBorders>
              <w:top w:val="nil"/>
            </w:tcBorders>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）疼痛康</w:t>
            </w:r>
            <w:r>
              <w:rPr>
                <w:color w:val="auto"/>
                <w:spacing w:val="7"/>
                <w:lang w:eastAsia="zh-CN"/>
              </w:rPr>
              <w:t>复科护士人数与疼痛康复科实际开放床位数比</w:t>
            </w:r>
          </w:p>
        </w:tc>
        <w:tc>
          <w:tcPr>
            <w:tcW w:w="1307" w:type="dxa"/>
          </w:tcPr>
          <w:p>
            <w:pPr>
              <w:spacing w:line="240" w:lineRule="exact"/>
              <w:rPr>
                <w:color w:val="auto"/>
                <w:lang w:eastAsia="zh-CN"/>
              </w:rPr>
            </w:pPr>
          </w:p>
          <w:p>
            <w:pPr>
              <w:pStyle w:val="8"/>
              <w:spacing w:before="0" w:line="240" w:lineRule="exact"/>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31" w:right="154" w:firstLine="12"/>
              <w:jc w:val="both"/>
              <w:rPr>
                <w:color w:val="auto"/>
                <w:lang w:eastAsia="zh-CN"/>
              </w:rPr>
            </w:pPr>
            <w:r>
              <w:rPr>
                <w:color w:val="auto"/>
                <w:spacing w:val="7"/>
                <w:lang w:eastAsia="zh-CN"/>
              </w:rPr>
              <w:t>医院注册的疼痛康复科在岗护士人数</w:t>
            </w:r>
            <w:r>
              <w:rPr>
                <w:color w:val="auto"/>
                <w:spacing w:val="8"/>
                <w:lang w:eastAsia="zh-CN"/>
              </w:rPr>
              <w:t>与同期疼痛康复科实际开放床位数之</w:t>
            </w:r>
            <w:r>
              <w:rPr>
                <w:color w:val="auto"/>
                <w:spacing w:val="-5"/>
                <w:lang w:eastAsia="zh-CN"/>
              </w:rPr>
              <w:t>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医院注册的疼痛康复科在岗护士人数</w:t>
            </w:r>
            <w:r>
              <w:rPr>
                <w:rFonts w:ascii="Times New Roman" w:hAnsi="Times New Roman" w:eastAsia="Times New Roman" w:cs="Times New Roman"/>
                <w:color w:val="auto"/>
                <w:spacing w:val="16"/>
                <w:lang w:eastAsia="zh-CN"/>
              </w:rPr>
              <w:t>/</w:t>
            </w:r>
            <w:r>
              <w:rPr>
                <w:color w:val="auto"/>
                <w:spacing w:val="7"/>
                <w:lang w:eastAsia="zh-CN"/>
              </w:rPr>
              <w:t>同期疼痛康复科实际开放床位数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restart"/>
            <w:tcBorders>
              <w:bottom w:val="nil"/>
            </w:tcBorders>
          </w:tcPr>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8" w:right="52" w:firstLine="16"/>
              <w:rPr>
                <w:color w:val="auto"/>
              </w:rPr>
            </w:pPr>
            <w:r>
              <w:rPr>
                <w:rFonts w:hint="eastAsia" w:ascii="Times New Roman" w:hAnsi="Times New Roman" w:eastAsia="宋体" w:cs="Times New Roman"/>
                <w:color w:val="auto"/>
                <w:spacing w:val="-1"/>
                <w:lang w:eastAsia="zh-CN"/>
              </w:rPr>
              <w:t>7</w:t>
            </w:r>
            <w:r>
              <w:rPr>
                <w:rFonts w:ascii="Times New Roman" w:hAnsi="Times New Roman" w:eastAsia="Times New Roman" w:cs="Times New Roman"/>
                <w:color w:val="auto"/>
                <w:spacing w:val="-1"/>
              </w:rPr>
              <w:t>.</w:t>
            </w:r>
            <w:r>
              <w:rPr>
                <w:color w:val="auto"/>
                <w:spacing w:val="-1"/>
              </w:rPr>
              <w:t>烧</w:t>
            </w:r>
            <w:r>
              <w:rPr>
                <w:color w:val="auto"/>
                <w:spacing w:val="7"/>
              </w:rPr>
              <w:t>伤康复</w:t>
            </w:r>
            <w:r>
              <w:rPr>
                <w:color w:val="auto"/>
                <w:spacing w:val="2"/>
              </w:rPr>
              <w:t>科</w:t>
            </w:r>
          </w:p>
        </w:tc>
        <w:tc>
          <w:tcPr>
            <w:tcW w:w="1080" w:type="dxa"/>
          </w:tcPr>
          <w:p>
            <w:pPr>
              <w:pStyle w:val="8"/>
              <w:spacing w:before="0" w:line="240" w:lineRule="exact"/>
              <w:ind w:left="14" w:right="1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）烧伤康</w:t>
            </w:r>
            <w:r>
              <w:rPr>
                <w:color w:val="auto"/>
                <w:spacing w:val="8"/>
                <w:lang w:eastAsia="zh-CN"/>
              </w:rPr>
              <w:t>复科开放床位数占医院实际开放床位数的比例</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36" w:right="154" w:hanging="11"/>
              <w:rPr>
                <w:color w:val="auto"/>
                <w:lang w:eastAsia="zh-CN"/>
              </w:rPr>
            </w:pPr>
            <w:r>
              <w:rPr>
                <w:color w:val="auto"/>
                <w:spacing w:val="9"/>
                <w:lang w:eastAsia="zh-CN"/>
              </w:rPr>
              <w:t>烧伤康复科开放床位数占同期医院实</w:t>
            </w:r>
            <w:r>
              <w:rPr>
                <w:color w:val="auto"/>
                <w:spacing w:val="6"/>
                <w:lang w:eastAsia="zh-CN"/>
              </w:rPr>
              <w:t>际开放床位数的比例。</w:t>
            </w:r>
          </w:p>
        </w:tc>
        <w:tc>
          <w:tcPr>
            <w:tcW w:w="3527" w:type="dxa"/>
          </w:tcPr>
          <w:p>
            <w:pPr>
              <w:pStyle w:val="8"/>
              <w:spacing w:before="0" w:line="240" w:lineRule="exact"/>
              <w:ind w:left="27" w:right="9"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烧伤康复科开放床位数</w:t>
            </w:r>
            <w:r>
              <w:rPr>
                <w:rFonts w:ascii="Times New Roman" w:hAnsi="Times New Roman" w:eastAsia="Times New Roman" w:cs="Times New Roman"/>
                <w:color w:val="auto"/>
                <w:spacing w:val="16"/>
                <w:lang w:eastAsia="zh-CN"/>
              </w:rPr>
              <w:t>/</w:t>
            </w:r>
            <w:r>
              <w:rPr>
                <w:color w:val="auto"/>
                <w:spacing w:val="16"/>
                <w:lang w:eastAsia="zh-CN"/>
              </w:rPr>
              <w:t>同期医院实际</w:t>
            </w:r>
            <w:r>
              <w:rPr>
                <w:color w:val="auto"/>
                <w:spacing w:val="4"/>
                <w:lang w:eastAsia="zh-CN"/>
              </w:rPr>
              <w:t>开放床位数</w:t>
            </w:r>
            <w:r>
              <w:rPr>
                <w:rFonts w:ascii="Times New Roman" w:hAnsi="Times New Roman" w:eastAsia="Times New Roman" w:cs="Times New Roman"/>
                <w:color w:val="auto"/>
                <w:spacing w:val="4"/>
                <w:lang w:eastAsia="zh-CN"/>
              </w:rPr>
              <w:t>×100%</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continue"/>
            <w:tcBorders>
              <w:top w:val="nil"/>
              <w:bottom w:val="nil"/>
            </w:tcBorders>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）烧伤康</w:t>
            </w:r>
            <w:r>
              <w:rPr>
                <w:color w:val="auto"/>
                <w:spacing w:val="7"/>
                <w:lang w:eastAsia="zh-CN"/>
              </w:rPr>
              <w:t>复科医师人数与烧伤康复科实际开放床位数比</w:t>
            </w:r>
          </w:p>
        </w:tc>
        <w:tc>
          <w:tcPr>
            <w:tcW w:w="1307" w:type="dxa"/>
          </w:tcPr>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25" w:right="154" w:firstLine="18"/>
              <w:jc w:val="both"/>
              <w:rPr>
                <w:color w:val="auto"/>
                <w:lang w:eastAsia="zh-CN"/>
              </w:rPr>
            </w:pPr>
            <w:r>
              <w:rPr>
                <w:color w:val="auto"/>
                <w:spacing w:val="7"/>
                <w:lang w:eastAsia="zh-CN"/>
              </w:rPr>
              <w:t>医院注册的烧伤康复科在岗的医师人</w:t>
            </w:r>
            <w:r>
              <w:rPr>
                <w:color w:val="auto"/>
                <w:spacing w:val="9"/>
                <w:lang w:eastAsia="zh-CN"/>
              </w:rPr>
              <w:t>数与同期烧伤康复科实际开放床位数</w:t>
            </w:r>
            <w:r>
              <w:rPr>
                <w:color w:val="auto"/>
                <w:spacing w:val="1"/>
                <w:lang w:eastAsia="zh-CN"/>
              </w:rPr>
              <w:t>之比。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医院注册的烧伤康复科在岗医师人数</w:t>
            </w:r>
            <w:r>
              <w:rPr>
                <w:rFonts w:ascii="Times New Roman" w:hAnsi="Times New Roman" w:eastAsia="Times New Roman" w:cs="Times New Roman"/>
                <w:color w:val="auto"/>
                <w:spacing w:val="16"/>
                <w:lang w:eastAsia="zh-CN"/>
              </w:rPr>
              <w:t>/</w:t>
            </w:r>
            <w:r>
              <w:rPr>
                <w:color w:val="auto"/>
                <w:spacing w:val="7"/>
                <w:lang w:eastAsia="zh-CN"/>
              </w:rPr>
              <w:t>同期烧伤康复科实际开放床位数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056" w:type="dxa"/>
            <w:vMerge w:val="continue"/>
            <w:tcBorders>
              <w:top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669" w:type="dxa"/>
            <w:vMerge w:val="continue"/>
            <w:tcBorders>
              <w:top w:val="nil"/>
            </w:tcBorders>
          </w:tcPr>
          <w:p>
            <w:pPr>
              <w:spacing w:line="240" w:lineRule="exact"/>
              <w:rPr>
                <w:color w:val="auto"/>
              </w:rPr>
            </w:pP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）烧伤康</w:t>
            </w:r>
            <w:r>
              <w:rPr>
                <w:color w:val="auto"/>
                <w:spacing w:val="7"/>
                <w:lang w:eastAsia="zh-CN"/>
              </w:rPr>
              <w:t>复科护士人数与烧伤康复科实际开放床位数比</w:t>
            </w:r>
          </w:p>
        </w:tc>
        <w:tc>
          <w:tcPr>
            <w:tcW w:w="1307" w:type="dxa"/>
          </w:tcPr>
          <w:p>
            <w:pPr>
              <w:spacing w:line="240" w:lineRule="exact"/>
              <w:rPr>
                <w:color w:val="auto"/>
                <w:lang w:eastAsia="zh-CN"/>
              </w:rPr>
            </w:pPr>
          </w:p>
          <w:p>
            <w:pPr>
              <w:pStyle w:val="8"/>
              <w:spacing w:before="0" w:line="240" w:lineRule="exact"/>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31" w:right="154" w:firstLine="12"/>
              <w:jc w:val="both"/>
              <w:rPr>
                <w:color w:val="auto"/>
                <w:lang w:eastAsia="zh-CN"/>
              </w:rPr>
            </w:pPr>
            <w:r>
              <w:rPr>
                <w:color w:val="auto"/>
                <w:spacing w:val="7"/>
                <w:lang w:eastAsia="zh-CN"/>
              </w:rPr>
              <w:t>医院注册的烧伤康复科在岗护士人数</w:t>
            </w:r>
            <w:r>
              <w:rPr>
                <w:color w:val="auto"/>
                <w:spacing w:val="8"/>
                <w:lang w:eastAsia="zh-CN"/>
              </w:rPr>
              <w:t>与同期烧伤康复科实际开放床位数之</w:t>
            </w:r>
            <w:r>
              <w:rPr>
                <w:color w:val="auto"/>
                <w:spacing w:val="-5"/>
                <w:lang w:eastAsia="zh-CN"/>
              </w:rPr>
              <w:t>比。</w:t>
            </w:r>
          </w:p>
        </w:tc>
        <w:tc>
          <w:tcPr>
            <w:tcW w:w="3527" w:type="dxa"/>
          </w:tcPr>
          <w:p>
            <w:pPr>
              <w:pStyle w:val="8"/>
              <w:spacing w:before="0" w:line="240" w:lineRule="exact"/>
              <w:ind w:left="41" w:right="10" w:hanging="24"/>
              <w:rPr>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医院注册的烧伤康复科在岗护士人数</w:t>
            </w:r>
            <w:r>
              <w:rPr>
                <w:rFonts w:ascii="Times New Roman" w:hAnsi="Times New Roman" w:eastAsia="Times New Roman" w:cs="Times New Roman"/>
                <w:color w:val="auto"/>
                <w:spacing w:val="16"/>
                <w:lang w:eastAsia="zh-CN"/>
              </w:rPr>
              <w:t>/</w:t>
            </w:r>
            <w:r>
              <w:rPr>
                <w:color w:val="auto"/>
                <w:spacing w:val="7"/>
                <w:lang w:eastAsia="zh-CN"/>
              </w:rPr>
              <w:t>同期烧伤康复科实际开放床位数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bl>
    <w:p>
      <w:pPr>
        <w:rPr>
          <w:color w:val="auto"/>
        </w:rPr>
      </w:pPr>
    </w:p>
    <w:p>
      <w:pPr>
        <w:rPr>
          <w:color w:val="auto"/>
        </w:rPr>
        <w:sectPr>
          <w:footerReference r:id="rId17"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669"/>
        <w:gridCol w:w="1080"/>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588" w:type="dxa"/>
            <w:gridSpan w:val="3"/>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056" w:type="dxa"/>
            <w:vMerge w:val="restart"/>
            <w:tcBorders>
              <w:bottom w:val="nil"/>
            </w:tcBorders>
          </w:tcPr>
          <w:p>
            <w:pPr>
              <w:spacing w:line="240" w:lineRule="exact"/>
              <w:rPr>
                <w:color w:val="auto"/>
              </w:rPr>
            </w:pPr>
          </w:p>
        </w:tc>
        <w:tc>
          <w:tcPr>
            <w:tcW w:w="839" w:type="dxa"/>
            <w:vMerge w:val="restart"/>
            <w:tcBorders>
              <w:bottom w:val="nil"/>
            </w:tcBorders>
          </w:tcPr>
          <w:p>
            <w:pPr>
              <w:spacing w:line="240" w:lineRule="exact"/>
              <w:rPr>
                <w:color w:val="auto"/>
              </w:rPr>
            </w:pPr>
          </w:p>
        </w:tc>
        <w:tc>
          <w:tcPr>
            <w:tcW w:w="669" w:type="dxa"/>
            <w:vMerge w:val="restart"/>
            <w:tcBorders>
              <w:bottom w:val="nil"/>
            </w:tcBorders>
          </w:tcPr>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2" w:right="52" w:firstLine="21"/>
              <w:rPr>
                <w:color w:val="auto"/>
              </w:rPr>
            </w:pPr>
            <w:r>
              <w:rPr>
                <w:rFonts w:hint="eastAsia" w:ascii="Times New Roman" w:hAnsi="Times New Roman" w:eastAsia="宋体" w:cs="Times New Roman"/>
                <w:color w:val="auto"/>
                <w:spacing w:val="-8"/>
                <w:lang w:eastAsia="zh-CN"/>
              </w:rPr>
              <w:t>8</w:t>
            </w:r>
            <w:r>
              <w:rPr>
                <w:rFonts w:ascii="Times New Roman" w:hAnsi="Times New Roman" w:eastAsia="Times New Roman" w:cs="Times New Roman"/>
                <w:color w:val="auto"/>
                <w:spacing w:val="-8"/>
              </w:rPr>
              <w:t>.</w:t>
            </w:r>
            <w:r>
              <w:rPr>
                <w:color w:val="auto"/>
                <w:spacing w:val="-8"/>
              </w:rPr>
              <w:t>听</w:t>
            </w:r>
            <w:r>
              <w:rPr>
                <w:color w:val="auto"/>
                <w:spacing w:val="9"/>
              </w:rPr>
              <w:t>力视力康复科</w:t>
            </w:r>
          </w:p>
        </w:tc>
        <w:tc>
          <w:tcPr>
            <w:tcW w:w="1080" w:type="dxa"/>
          </w:tcPr>
          <w:p>
            <w:pPr>
              <w:pStyle w:val="8"/>
              <w:spacing w:before="0" w:line="240" w:lineRule="exact"/>
              <w:ind w:left="18" w:right="14" w:hanging="4"/>
              <w:jc w:val="both"/>
              <w:rPr>
                <w:color w:val="auto"/>
                <w:lang w:eastAsia="zh-CN"/>
              </w:rPr>
            </w:pPr>
            <w:r>
              <w:rPr>
                <w:color w:val="auto"/>
                <w:lang w:eastAsia="zh-CN"/>
              </w:rPr>
              <w:t>（</w:t>
            </w:r>
            <w:r>
              <w:rPr>
                <w:rFonts w:ascii="Times New Roman" w:hAnsi="Times New Roman" w:eastAsia="Times New Roman" w:cs="Times New Roman"/>
                <w:color w:val="auto"/>
                <w:lang w:eastAsia="zh-CN"/>
              </w:rPr>
              <w:t>1</w:t>
            </w:r>
            <w:r>
              <w:rPr>
                <w:color w:val="auto"/>
                <w:lang w:eastAsia="zh-CN"/>
              </w:rPr>
              <w:t>）听力视</w:t>
            </w:r>
            <w:r>
              <w:rPr>
                <w:color w:val="auto"/>
                <w:spacing w:val="7"/>
                <w:lang w:eastAsia="zh-CN"/>
              </w:rPr>
              <w:t>力康复科开放床位数占医院实际开放床位数的</w:t>
            </w:r>
            <w:r>
              <w:rPr>
                <w:color w:val="auto"/>
                <w:spacing w:val="4"/>
                <w:lang w:eastAsia="zh-CN"/>
              </w:rPr>
              <w:t>比例</w:t>
            </w:r>
          </w:p>
        </w:tc>
        <w:tc>
          <w:tcPr>
            <w:tcW w:w="130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34" w:right="154"/>
              <w:rPr>
                <w:color w:val="auto"/>
                <w:lang w:eastAsia="zh-CN"/>
              </w:rPr>
            </w:pPr>
            <w:r>
              <w:rPr>
                <w:color w:val="auto"/>
                <w:spacing w:val="8"/>
                <w:lang w:eastAsia="zh-CN"/>
              </w:rPr>
              <w:t>听力视力康复科开放床位数占同期医</w:t>
            </w:r>
            <w:r>
              <w:rPr>
                <w:color w:val="auto"/>
                <w:spacing w:val="7"/>
                <w:lang w:eastAsia="zh-CN"/>
              </w:rPr>
              <w:t>院实际开放床位数的比例。</w:t>
            </w:r>
          </w:p>
        </w:tc>
        <w:tc>
          <w:tcPr>
            <w:tcW w:w="3527" w:type="dxa"/>
          </w:tcPr>
          <w:p>
            <w:pPr>
              <w:pStyle w:val="8"/>
              <w:spacing w:before="0" w:line="240" w:lineRule="exact"/>
              <w:ind w:left="31" w:right="9" w:hanging="1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听力视力康复科开放床位数</w:t>
            </w:r>
            <w:r>
              <w:rPr>
                <w:rFonts w:ascii="Times New Roman" w:hAnsi="Times New Roman" w:eastAsia="Times New Roman" w:cs="Times New Roman"/>
                <w:color w:val="auto"/>
                <w:spacing w:val="16"/>
                <w:lang w:eastAsia="zh-CN"/>
              </w:rPr>
              <w:t>/</w:t>
            </w:r>
            <w:r>
              <w:rPr>
                <w:color w:val="auto"/>
                <w:spacing w:val="16"/>
                <w:lang w:eastAsia="zh-CN"/>
              </w:rPr>
              <w:t>同期医院</w:t>
            </w:r>
            <w:r>
              <w:rPr>
                <w:color w:val="auto"/>
                <w:spacing w:val="4"/>
                <w:lang w:eastAsia="zh-CN"/>
              </w:rPr>
              <w:t>实际开放床位数</w:t>
            </w:r>
            <w:r>
              <w:rPr>
                <w:rFonts w:ascii="Times New Roman" w:hAnsi="Times New Roman" w:eastAsia="Times New Roman" w:cs="Times New Roman"/>
                <w:color w:val="auto"/>
                <w:spacing w:val="4"/>
                <w:lang w:eastAsia="zh-CN"/>
              </w:rPr>
              <w:t>×100%</w:t>
            </w:r>
          </w:p>
        </w:tc>
        <w:tc>
          <w:tcPr>
            <w:tcW w:w="116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056" w:type="dxa"/>
            <w:vMerge w:val="continue"/>
            <w:tcBorders>
              <w:top w:val="nil"/>
              <w:bottom w:val="nil"/>
            </w:tcBorders>
          </w:tcPr>
          <w:p>
            <w:pPr>
              <w:spacing w:line="240" w:lineRule="exact"/>
              <w:rPr>
                <w:color w:val="auto"/>
              </w:rPr>
            </w:pPr>
          </w:p>
        </w:tc>
        <w:tc>
          <w:tcPr>
            <w:tcW w:w="839" w:type="dxa"/>
            <w:vMerge w:val="continue"/>
            <w:tcBorders>
              <w:top w:val="nil"/>
              <w:bottom w:val="nil"/>
            </w:tcBorders>
          </w:tcPr>
          <w:p>
            <w:pPr>
              <w:spacing w:line="240" w:lineRule="exact"/>
              <w:rPr>
                <w:color w:val="auto"/>
              </w:rPr>
            </w:pPr>
          </w:p>
        </w:tc>
        <w:tc>
          <w:tcPr>
            <w:tcW w:w="669" w:type="dxa"/>
            <w:vMerge w:val="continue"/>
            <w:tcBorders>
              <w:top w:val="nil"/>
              <w:bottom w:val="nil"/>
            </w:tcBorders>
          </w:tcPr>
          <w:p>
            <w:pPr>
              <w:spacing w:line="240" w:lineRule="exact"/>
              <w:rPr>
                <w:color w:val="auto"/>
              </w:rPr>
            </w:pPr>
          </w:p>
        </w:tc>
        <w:tc>
          <w:tcPr>
            <w:tcW w:w="1080" w:type="dxa"/>
          </w:tcPr>
          <w:p>
            <w:pPr>
              <w:pStyle w:val="8"/>
              <w:spacing w:before="0" w:line="240" w:lineRule="exact"/>
              <w:ind w:left="16" w:right="14" w:hanging="2"/>
              <w:jc w:val="both"/>
              <w:rPr>
                <w:color w:val="auto"/>
                <w:lang w:eastAsia="zh-CN"/>
              </w:rPr>
            </w:pPr>
            <w:r>
              <w:rPr>
                <w:color w:val="auto"/>
                <w:lang w:eastAsia="zh-CN"/>
              </w:rPr>
              <w:t>（</w:t>
            </w:r>
            <w:r>
              <w:rPr>
                <w:rFonts w:ascii="Times New Roman" w:hAnsi="Times New Roman" w:eastAsia="Times New Roman" w:cs="Times New Roman"/>
                <w:color w:val="auto"/>
                <w:lang w:eastAsia="zh-CN"/>
              </w:rPr>
              <w:t>2</w:t>
            </w:r>
            <w:r>
              <w:rPr>
                <w:color w:val="auto"/>
                <w:lang w:eastAsia="zh-CN"/>
              </w:rPr>
              <w:t>）听力视</w:t>
            </w:r>
            <w:r>
              <w:rPr>
                <w:color w:val="auto"/>
                <w:spacing w:val="8"/>
                <w:lang w:eastAsia="zh-CN"/>
              </w:rPr>
              <w:t>力康复科医师人数与听力视力康复科实际开放床位数比</w:t>
            </w:r>
          </w:p>
        </w:tc>
        <w:tc>
          <w:tcPr>
            <w:tcW w:w="130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3" w:firstLine="2"/>
              <w:jc w:val="both"/>
              <w:rPr>
                <w:color w:val="auto"/>
                <w:lang w:eastAsia="zh-CN"/>
              </w:rPr>
            </w:pPr>
            <w:r>
              <w:rPr>
                <w:color w:val="auto"/>
                <w:spacing w:val="13"/>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22" w:right="154" w:firstLine="21"/>
              <w:jc w:val="both"/>
              <w:rPr>
                <w:color w:val="auto"/>
                <w:lang w:eastAsia="zh-CN"/>
              </w:rPr>
            </w:pPr>
            <w:r>
              <w:rPr>
                <w:color w:val="auto"/>
                <w:spacing w:val="7"/>
                <w:lang w:eastAsia="zh-CN"/>
              </w:rPr>
              <w:t>医院注册的听力视力康复科在岗医师</w:t>
            </w:r>
            <w:r>
              <w:rPr>
                <w:color w:val="auto"/>
                <w:spacing w:val="9"/>
                <w:lang w:eastAsia="zh-CN"/>
              </w:rPr>
              <w:t>人数与同期听力视力康复科实际开放</w:t>
            </w:r>
            <w:r>
              <w:rPr>
                <w:color w:val="auto"/>
                <w:spacing w:val="6"/>
                <w:lang w:eastAsia="zh-CN"/>
              </w:rPr>
              <w:t>床位数之比。</w:t>
            </w:r>
          </w:p>
        </w:tc>
        <w:tc>
          <w:tcPr>
            <w:tcW w:w="3527" w:type="dxa"/>
          </w:tcPr>
          <w:p>
            <w:pPr>
              <w:pStyle w:val="8"/>
              <w:spacing w:before="0" w:line="240" w:lineRule="exact"/>
              <w:ind w:left="22" w:right="11"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医院注册的听力视力康复科在岗医师</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同期听力视力康复科实际开放床位</w:t>
            </w:r>
            <w:r>
              <w:rPr>
                <w:color w:val="auto"/>
                <w:lang w:eastAsia="zh-CN"/>
              </w:rPr>
              <w:t>数</w:t>
            </w:r>
          </w:p>
        </w:tc>
        <w:tc>
          <w:tcPr>
            <w:tcW w:w="116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56" w:type="dxa"/>
            <w:vMerge w:val="continue"/>
            <w:tcBorders>
              <w:top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669" w:type="dxa"/>
            <w:vMerge w:val="continue"/>
            <w:tcBorders>
              <w:top w:val="nil"/>
            </w:tcBorders>
          </w:tcPr>
          <w:p>
            <w:pPr>
              <w:spacing w:line="240" w:lineRule="exact"/>
              <w:rPr>
                <w:color w:val="auto"/>
              </w:rPr>
            </w:pPr>
          </w:p>
        </w:tc>
        <w:tc>
          <w:tcPr>
            <w:tcW w:w="1080" w:type="dxa"/>
          </w:tcPr>
          <w:p>
            <w:pPr>
              <w:pStyle w:val="8"/>
              <w:spacing w:before="0" w:line="240" w:lineRule="exact"/>
              <w:ind w:left="16" w:right="14" w:hanging="2"/>
              <w:jc w:val="both"/>
              <w:rPr>
                <w:color w:val="auto"/>
                <w:lang w:eastAsia="zh-CN"/>
              </w:rPr>
            </w:pPr>
            <w:r>
              <w:rPr>
                <w:color w:val="auto"/>
                <w:lang w:eastAsia="zh-CN"/>
              </w:rPr>
              <w:t>（</w:t>
            </w:r>
            <w:r>
              <w:rPr>
                <w:rFonts w:ascii="Times New Roman" w:hAnsi="Times New Roman" w:eastAsia="Times New Roman" w:cs="Times New Roman"/>
                <w:color w:val="auto"/>
                <w:lang w:eastAsia="zh-CN"/>
              </w:rPr>
              <w:t>3</w:t>
            </w:r>
            <w:r>
              <w:rPr>
                <w:color w:val="auto"/>
                <w:lang w:eastAsia="zh-CN"/>
              </w:rPr>
              <w:t>）听力视</w:t>
            </w:r>
            <w:r>
              <w:rPr>
                <w:color w:val="auto"/>
                <w:spacing w:val="8"/>
                <w:lang w:eastAsia="zh-CN"/>
              </w:rPr>
              <w:t>力康复科护士人数与听力视力康复科实际开放床位数比</w:t>
            </w:r>
          </w:p>
        </w:tc>
        <w:tc>
          <w:tcPr>
            <w:tcW w:w="1307" w:type="dxa"/>
          </w:tcPr>
          <w:p>
            <w:pPr>
              <w:spacing w:line="240" w:lineRule="exact"/>
              <w:rPr>
                <w:color w:val="auto"/>
                <w:lang w:eastAsia="zh-CN"/>
              </w:rPr>
            </w:pPr>
          </w:p>
          <w:p>
            <w:pPr>
              <w:pStyle w:val="8"/>
              <w:spacing w:before="0" w:line="240" w:lineRule="exact"/>
              <w:ind w:left="19" w:right="90" w:firstLine="2"/>
              <w:jc w:val="both"/>
              <w:rPr>
                <w:color w:val="auto"/>
                <w:lang w:eastAsia="zh-CN"/>
              </w:rPr>
            </w:pPr>
            <w:r>
              <w:rPr>
                <w:color w:val="auto"/>
                <w:spacing w:val="8"/>
                <w:lang w:eastAsia="zh-CN"/>
              </w:rPr>
              <w:t>定量指标，配比类指标，必</w:t>
            </w:r>
            <w:r>
              <w:rPr>
                <w:color w:val="auto"/>
                <w:spacing w:val="5"/>
                <w:lang w:eastAsia="zh-CN"/>
              </w:rPr>
              <w:t>填指标。</w:t>
            </w:r>
          </w:p>
        </w:tc>
        <w:tc>
          <w:tcPr>
            <w:tcW w:w="1044"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9"/>
              </w:rPr>
              <w:t>比值（</w:t>
            </w:r>
            <w:r>
              <w:rPr>
                <w:rFonts w:ascii="Times New Roman" w:hAnsi="Times New Roman" w:eastAsia="Times New Roman" w:cs="Times New Roman"/>
                <w:color w:val="auto"/>
                <w:spacing w:val="-9"/>
              </w:rPr>
              <w:t>X:1</w:t>
            </w:r>
            <w:r>
              <w:rPr>
                <w:color w:val="auto"/>
                <w:spacing w:val="-9"/>
              </w:rPr>
              <w:t>）</w:t>
            </w:r>
          </w:p>
        </w:tc>
        <w:tc>
          <w:tcPr>
            <w:tcW w:w="3371" w:type="dxa"/>
          </w:tcPr>
          <w:p>
            <w:pPr>
              <w:pStyle w:val="8"/>
              <w:spacing w:before="0" w:line="240" w:lineRule="exact"/>
              <w:ind w:left="22" w:right="154" w:firstLine="21"/>
              <w:jc w:val="both"/>
              <w:rPr>
                <w:color w:val="auto"/>
                <w:lang w:eastAsia="zh-CN"/>
              </w:rPr>
            </w:pPr>
            <w:r>
              <w:rPr>
                <w:color w:val="auto"/>
                <w:spacing w:val="7"/>
                <w:lang w:eastAsia="zh-CN"/>
              </w:rPr>
              <w:t>医院注册的听力视力康复科在岗护士</w:t>
            </w:r>
            <w:r>
              <w:rPr>
                <w:color w:val="auto"/>
                <w:spacing w:val="9"/>
                <w:lang w:eastAsia="zh-CN"/>
              </w:rPr>
              <w:t>人数与同期听力视力康复科实际开放</w:t>
            </w:r>
            <w:r>
              <w:rPr>
                <w:color w:val="auto"/>
                <w:spacing w:val="6"/>
                <w:lang w:eastAsia="zh-CN"/>
              </w:rPr>
              <w:t>床位数之比。</w:t>
            </w:r>
          </w:p>
        </w:tc>
        <w:tc>
          <w:tcPr>
            <w:tcW w:w="3527" w:type="dxa"/>
          </w:tcPr>
          <w:p>
            <w:pPr>
              <w:pStyle w:val="8"/>
              <w:spacing w:before="0" w:line="240" w:lineRule="exact"/>
              <w:ind w:left="22" w:right="11" w:hanging="5"/>
              <w:jc w:val="both"/>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医院注册的听力视力康复科在岗护士</w:t>
            </w:r>
            <w:r>
              <w:rPr>
                <w:color w:val="auto"/>
                <w:spacing w:val="11"/>
                <w:lang w:eastAsia="zh-CN"/>
              </w:rPr>
              <w:t>人数</w:t>
            </w:r>
            <w:r>
              <w:rPr>
                <w:rFonts w:ascii="Times New Roman" w:hAnsi="Times New Roman" w:eastAsia="Times New Roman" w:cs="Times New Roman"/>
                <w:color w:val="auto"/>
                <w:spacing w:val="11"/>
                <w:lang w:eastAsia="zh-CN"/>
              </w:rPr>
              <w:t>/</w:t>
            </w:r>
            <w:r>
              <w:rPr>
                <w:color w:val="auto"/>
                <w:spacing w:val="11"/>
                <w:lang w:eastAsia="zh-CN"/>
              </w:rPr>
              <w:t>同期听力视力康复科实际开放床位</w:t>
            </w:r>
            <w:r>
              <w:rPr>
                <w:color w:val="auto"/>
                <w:lang w:eastAsia="zh-CN"/>
              </w:rPr>
              <w:t>数</w:t>
            </w:r>
          </w:p>
        </w:tc>
        <w:tc>
          <w:tcPr>
            <w:tcW w:w="116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4"/>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restart"/>
            <w:tcBorders>
              <w:bottom w:val="nil"/>
            </w:tcBorders>
          </w:tcPr>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21" w:right="16" w:firstLine="24"/>
              <w:rPr>
                <w:color w:val="auto"/>
              </w:rPr>
            </w:pPr>
            <w:r>
              <w:rPr>
                <w:color w:val="auto"/>
                <w:spacing w:val="7"/>
              </w:rPr>
              <w:t>四、运行指</w:t>
            </w:r>
            <w:r>
              <w:rPr>
                <w:color w:val="auto"/>
                <w:spacing w:val="2"/>
              </w:rPr>
              <w:t>标</w:t>
            </w:r>
          </w:p>
        </w:tc>
        <w:tc>
          <w:tcPr>
            <w:tcW w:w="2588" w:type="dxa"/>
            <w:gridSpan w:val="3"/>
          </w:tcPr>
          <w:p>
            <w:pPr>
              <w:pStyle w:val="8"/>
              <w:spacing w:before="0" w:line="240" w:lineRule="exact"/>
              <w:ind w:left="46" w:right="14" w:hanging="32"/>
              <w:rPr>
                <w:color w:val="auto"/>
                <w:lang w:eastAsia="zh-CN"/>
              </w:rPr>
            </w:pPr>
            <w:r>
              <w:rPr>
                <w:color w:val="auto"/>
                <w:spacing w:val="2"/>
                <w:lang w:eastAsia="zh-CN"/>
              </w:rPr>
              <w:t>（一）人员支出占业务支出的</w:t>
            </w:r>
            <w:r>
              <w:rPr>
                <w:color w:val="auto"/>
                <w:spacing w:val="5"/>
                <w:lang w:eastAsia="zh-CN"/>
              </w:rPr>
              <w:t>比重（人员经费占比）</w:t>
            </w:r>
          </w:p>
        </w:tc>
        <w:tc>
          <w:tcPr>
            <w:tcW w:w="1307" w:type="dxa"/>
          </w:tcPr>
          <w:p>
            <w:pPr>
              <w:pStyle w:val="8"/>
              <w:spacing w:before="0" w:line="240" w:lineRule="exact"/>
              <w:ind w:left="25" w:right="90" w:hanging="3"/>
              <w:rPr>
                <w:color w:val="auto"/>
                <w:lang w:eastAsia="zh-CN"/>
              </w:rPr>
            </w:pPr>
            <w:r>
              <w:rPr>
                <w:color w:val="auto"/>
                <w:spacing w:val="8"/>
                <w:lang w:eastAsia="zh-CN"/>
              </w:rPr>
              <w:t>定量指标，连</w:t>
            </w:r>
            <w:r>
              <w:rPr>
                <w:color w:val="auto"/>
                <w:spacing w:val="6"/>
                <w:lang w:eastAsia="zh-CN"/>
              </w:rPr>
              <w:t>续监测类指</w:t>
            </w:r>
          </w:p>
          <w:p>
            <w:pPr>
              <w:pStyle w:val="8"/>
              <w:spacing w:before="0" w:line="240" w:lineRule="exact"/>
              <w:jc w:val="right"/>
              <w:rPr>
                <w:color w:val="auto"/>
              </w:rPr>
            </w:pPr>
            <w:r>
              <w:rPr>
                <w:color w:val="auto"/>
                <w:spacing w:val="-7"/>
              </w:rPr>
              <w:t>标，必填指标。</w:t>
            </w:r>
          </w:p>
        </w:tc>
        <w:tc>
          <w:tcPr>
            <w:tcW w:w="1044" w:type="dxa"/>
          </w:tcPr>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jc w:val="right"/>
              <w:rPr>
                <w:color w:val="auto"/>
                <w:lang w:eastAsia="zh-CN"/>
              </w:rPr>
            </w:pPr>
            <w:r>
              <w:rPr>
                <w:color w:val="auto"/>
                <w:spacing w:val="6"/>
                <w:lang w:eastAsia="zh-CN"/>
              </w:rPr>
              <w:t>年度人员经费占医疗活动费用的比例。</w:t>
            </w:r>
          </w:p>
        </w:tc>
        <w:tc>
          <w:tcPr>
            <w:tcW w:w="3527" w:type="dxa"/>
          </w:tcPr>
          <w:p>
            <w:pPr>
              <w:pStyle w:val="8"/>
              <w:spacing w:before="0" w:line="240" w:lineRule="exact"/>
              <w:ind w:left="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position w:val="1"/>
                <w:lang w:eastAsia="zh-CN"/>
              </w:rPr>
              <w:t>=</w:t>
            </w:r>
            <w:r>
              <w:rPr>
                <w:color w:val="auto"/>
                <w:spacing w:val="6"/>
                <w:position w:val="1"/>
                <w:lang w:eastAsia="zh-CN"/>
              </w:rPr>
              <w:t>人员经费</w:t>
            </w:r>
            <w:r>
              <w:rPr>
                <w:rFonts w:ascii="Times New Roman" w:hAnsi="Times New Roman" w:eastAsia="Times New Roman" w:cs="Times New Roman"/>
                <w:color w:val="auto"/>
                <w:spacing w:val="6"/>
                <w:position w:val="1"/>
                <w:lang w:eastAsia="zh-CN"/>
              </w:rPr>
              <w:t>/</w:t>
            </w:r>
            <w:r>
              <w:rPr>
                <w:color w:val="auto"/>
                <w:spacing w:val="6"/>
                <w:position w:val="1"/>
                <w:lang w:eastAsia="zh-CN"/>
              </w:rPr>
              <w:t>同期医疗活动费用</w:t>
            </w:r>
            <w:r>
              <w:rPr>
                <w:rFonts w:ascii="Times New Roman" w:hAnsi="Times New Roman" w:eastAsia="Times New Roman" w:cs="Times New Roman"/>
                <w:color w:val="auto"/>
                <w:spacing w:val="6"/>
                <w:position w:val="1"/>
                <w:lang w:eastAsia="zh-CN"/>
              </w:rPr>
              <w:t>×100%</w:t>
            </w:r>
          </w:p>
        </w:tc>
        <w:tc>
          <w:tcPr>
            <w:tcW w:w="1167" w:type="dxa"/>
          </w:tcPr>
          <w:p>
            <w:pPr>
              <w:pStyle w:val="8"/>
              <w:spacing w:before="0" w:line="240" w:lineRule="exact"/>
              <w:ind w:left="184"/>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56" w:type="dxa"/>
            <w:vMerge w:val="continue"/>
            <w:tcBorders>
              <w:top w:val="nil"/>
              <w:bottom w:val="nil"/>
            </w:tcBorders>
          </w:tcPr>
          <w:p>
            <w:pPr>
              <w:spacing w:line="240" w:lineRule="exact"/>
              <w:rPr>
                <w:color w:val="auto"/>
              </w:rPr>
            </w:pPr>
          </w:p>
        </w:tc>
        <w:tc>
          <w:tcPr>
            <w:tcW w:w="839" w:type="dxa"/>
            <w:vMerge w:val="restart"/>
            <w:tcBorders>
              <w:bottom w:val="nil"/>
            </w:tcBorders>
          </w:tcPr>
          <w:p>
            <w:pPr>
              <w:spacing w:line="240" w:lineRule="exact"/>
              <w:rPr>
                <w:color w:val="auto"/>
              </w:rPr>
            </w:pPr>
          </w:p>
          <w:p>
            <w:pPr>
              <w:pStyle w:val="8"/>
              <w:spacing w:before="0" w:line="240" w:lineRule="exact"/>
              <w:ind w:left="22" w:right="15" w:hanging="8"/>
              <w:jc w:val="both"/>
              <w:rPr>
                <w:color w:val="auto"/>
              </w:rPr>
            </w:pPr>
            <w:r>
              <w:rPr>
                <w:color w:val="auto"/>
                <w:spacing w:val="-17"/>
              </w:rPr>
              <w:t>（二）收</w:t>
            </w:r>
            <w:r>
              <w:rPr>
                <w:color w:val="auto"/>
                <w:spacing w:val="9"/>
              </w:rPr>
              <w:t>支结构情</w:t>
            </w:r>
            <w:r>
              <w:rPr>
                <w:color w:val="auto"/>
              </w:rPr>
              <w:t>况</w:t>
            </w:r>
          </w:p>
        </w:tc>
        <w:tc>
          <w:tcPr>
            <w:tcW w:w="1749" w:type="dxa"/>
            <w:gridSpan w:val="2"/>
          </w:tcPr>
          <w:p>
            <w:pPr>
              <w:pStyle w:val="8"/>
              <w:spacing w:before="0" w:line="240" w:lineRule="exact"/>
              <w:ind w:left="15" w:right="14" w:firstLine="18"/>
              <w:jc w:val="both"/>
              <w:rPr>
                <w:color w:val="auto"/>
                <w:lang w:eastAsia="zh-CN"/>
              </w:rPr>
            </w:pPr>
            <w:r>
              <w:rPr>
                <w:rFonts w:ascii="Times New Roman" w:hAnsi="Times New Roman" w:eastAsia="Times New Roman" w:cs="Times New Roman"/>
                <w:color w:val="auto"/>
                <w:lang w:eastAsia="zh-CN"/>
              </w:rPr>
              <w:t>1.</w:t>
            </w:r>
            <w:r>
              <w:rPr>
                <w:color w:val="auto"/>
                <w:lang w:eastAsia="zh-CN"/>
              </w:rPr>
              <w:t>医疗服务收入（不含药品、耗材、检查检验收入）占医疗收</w:t>
            </w:r>
            <w:r>
              <w:rPr>
                <w:color w:val="auto"/>
                <w:spacing w:val="8"/>
                <w:lang w:eastAsia="zh-CN"/>
              </w:rPr>
              <w:t>入比例</w:t>
            </w:r>
          </w:p>
        </w:tc>
        <w:tc>
          <w:tcPr>
            <w:tcW w:w="1307" w:type="dxa"/>
          </w:tcPr>
          <w:p>
            <w:pPr>
              <w:pStyle w:val="8"/>
              <w:spacing w:before="0" w:line="240" w:lineRule="exact"/>
              <w:ind w:left="25" w:right="90" w:hanging="3"/>
              <w:rPr>
                <w:color w:val="auto"/>
                <w:lang w:eastAsia="zh-CN"/>
              </w:rPr>
            </w:pPr>
            <w:r>
              <w:rPr>
                <w:color w:val="auto"/>
                <w:spacing w:val="8"/>
                <w:lang w:eastAsia="zh-CN"/>
              </w:rPr>
              <w:t>定量指标，连</w:t>
            </w:r>
            <w:r>
              <w:rPr>
                <w:color w:val="auto"/>
                <w:spacing w:val="6"/>
                <w:lang w:eastAsia="zh-CN"/>
              </w:rPr>
              <w:t>续监测类指</w:t>
            </w:r>
          </w:p>
          <w:p>
            <w:pPr>
              <w:pStyle w:val="8"/>
              <w:spacing w:before="0" w:line="240" w:lineRule="exact"/>
              <w:jc w:val="right"/>
              <w:rPr>
                <w:color w:val="auto"/>
              </w:rPr>
            </w:pPr>
            <w:r>
              <w:rPr>
                <w:color w:val="auto"/>
                <w:spacing w:val="-7"/>
              </w:rPr>
              <w:t>标，必填指标。</w:t>
            </w:r>
          </w:p>
        </w:tc>
        <w:tc>
          <w:tcPr>
            <w:tcW w:w="1044" w:type="dxa"/>
          </w:tcPr>
          <w:p>
            <w:pPr>
              <w:spacing w:line="240" w:lineRule="exact"/>
              <w:rPr>
                <w:color w:val="auto"/>
              </w:rPr>
            </w:pPr>
          </w:p>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18" w:firstLine="4"/>
              <w:rPr>
                <w:color w:val="auto"/>
                <w:lang w:eastAsia="zh-CN"/>
              </w:rPr>
            </w:pPr>
            <w:r>
              <w:rPr>
                <w:color w:val="auto"/>
                <w:spacing w:val="-5"/>
                <w:lang w:eastAsia="zh-CN"/>
              </w:rPr>
              <w:t>年度医疗服务收入（不包含药品、耗材、</w:t>
            </w:r>
            <w:r>
              <w:rPr>
                <w:color w:val="auto"/>
                <w:spacing w:val="3"/>
                <w:lang w:eastAsia="zh-CN"/>
              </w:rPr>
              <w:t>检查检验收入）占医疗收入的比例。</w:t>
            </w:r>
          </w:p>
        </w:tc>
        <w:tc>
          <w:tcPr>
            <w:tcW w:w="3527" w:type="dxa"/>
          </w:tcPr>
          <w:p>
            <w:pPr>
              <w:spacing w:line="240" w:lineRule="exact"/>
              <w:rPr>
                <w:color w:val="auto"/>
                <w:lang w:eastAsia="zh-CN"/>
              </w:rPr>
            </w:pPr>
          </w:p>
          <w:p>
            <w:pPr>
              <w:pStyle w:val="8"/>
              <w:spacing w:before="0" w:line="240" w:lineRule="exact"/>
              <w:ind w:left="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position w:val="1"/>
                <w:lang w:eastAsia="zh-CN"/>
              </w:rPr>
              <w:t>=</w:t>
            </w:r>
            <w:r>
              <w:rPr>
                <w:color w:val="auto"/>
                <w:spacing w:val="6"/>
                <w:position w:val="1"/>
                <w:lang w:eastAsia="zh-CN"/>
              </w:rPr>
              <w:t>医疗服务收入</w:t>
            </w:r>
            <w:r>
              <w:rPr>
                <w:rFonts w:ascii="Times New Roman" w:hAnsi="Times New Roman" w:eastAsia="Times New Roman" w:cs="Times New Roman"/>
                <w:color w:val="auto"/>
                <w:spacing w:val="6"/>
                <w:position w:val="1"/>
                <w:lang w:eastAsia="zh-CN"/>
              </w:rPr>
              <w:t>/</w:t>
            </w:r>
            <w:r>
              <w:rPr>
                <w:color w:val="auto"/>
                <w:spacing w:val="6"/>
                <w:position w:val="1"/>
                <w:lang w:eastAsia="zh-CN"/>
              </w:rPr>
              <w:t>医疗收入</w:t>
            </w:r>
            <w:r>
              <w:rPr>
                <w:rFonts w:ascii="Times New Roman" w:hAnsi="Times New Roman" w:eastAsia="Times New Roman" w:cs="Times New Roman"/>
                <w:color w:val="auto"/>
                <w:spacing w:val="6"/>
                <w:position w:val="1"/>
                <w:lang w:eastAsia="zh-CN"/>
              </w:rPr>
              <w:t>×100%</w:t>
            </w:r>
          </w:p>
        </w:tc>
        <w:tc>
          <w:tcPr>
            <w:tcW w:w="1167" w:type="dxa"/>
          </w:tcPr>
          <w:p>
            <w:pPr>
              <w:spacing w:line="240" w:lineRule="exact"/>
              <w:rPr>
                <w:color w:val="auto"/>
                <w:lang w:eastAsia="zh-CN"/>
              </w:rPr>
            </w:pPr>
          </w:p>
          <w:p>
            <w:pPr>
              <w:pStyle w:val="8"/>
              <w:spacing w:before="0" w:line="240" w:lineRule="exact"/>
              <w:ind w:left="184"/>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56" w:type="dxa"/>
            <w:vMerge w:val="continue"/>
            <w:tcBorders>
              <w:top w:val="nil"/>
            </w:tcBorders>
          </w:tcPr>
          <w:p>
            <w:pPr>
              <w:spacing w:line="240" w:lineRule="exact"/>
              <w:rPr>
                <w:color w:val="auto"/>
              </w:rPr>
            </w:pPr>
          </w:p>
        </w:tc>
        <w:tc>
          <w:tcPr>
            <w:tcW w:w="839" w:type="dxa"/>
            <w:vMerge w:val="continue"/>
            <w:tcBorders>
              <w:top w:val="nil"/>
            </w:tcBorders>
          </w:tcPr>
          <w:p>
            <w:pPr>
              <w:spacing w:line="240" w:lineRule="exact"/>
              <w:rPr>
                <w:color w:val="auto"/>
              </w:rPr>
            </w:pPr>
          </w:p>
        </w:tc>
        <w:tc>
          <w:tcPr>
            <w:tcW w:w="1749" w:type="dxa"/>
            <w:gridSpan w:val="2"/>
          </w:tcPr>
          <w:p>
            <w:pPr>
              <w:pStyle w:val="8"/>
              <w:spacing w:before="0" w:line="240" w:lineRule="exact"/>
              <w:ind w:left="18" w:right="14" w:hanging="3"/>
              <w:rPr>
                <w:color w:val="auto"/>
                <w:lang w:eastAsia="zh-CN"/>
              </w:rPr>
            </w:pPr>
            <w:r>
              <w:rPr>
                <w:rFonts w:ascii="Times New Roman" w:hAnsi="Times New Roman" w:eastAsia="Times New Roman" w:cs="Times New Roman"/>
                <w:color w:val="auto"/>
                <w:spacing w:val="3"/>
                <w:lang w:eastAsia="zh-CN"/>
              </w:rPr>
              <w:t>2.</w:t>
            </w:r>
            <w:r>
              <w:rPr>
                <w:color w:val="auto"/>
                <w:spacing w:val="3"/>
                <w:lang w:eastAsia="zh-CN"/>
              </w:rPr>
              <w:t>收支结余（医疗盈</w:t>
            </w:r>
            <w:r>
              <w:rPr>
                <w:color w:val="auto"/>
                <w:spacing w:val="5"/>
                <w:lang w:eastAsia="zh-CN"/>
              </w:rPr>
              <w:t>余率）</w:t>
            </w:r>
          </w:p>
        </w:tc>
        <w:tc>
          <w:tcPr>
            <w:tcW w:w="1307" w:type="dxa"/>
          </w:tcPr>
          <w:p>
            <w:pPr>
              <w:pStyle w:val="8"/>
              <w:spacing w:before="0" w:line="240" w:lineRule="exact"/>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0" w:line="240"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0" w:line="240" w:lineRule="exact"/>
              <w:ind w:left="55" w:right="10" w:hanging="56"/>
              <w:rPr>
                <w:color w:val="auto"/>
                <w:lang w:eastAsia="zh-CN"/>
              </w:rPr>
            </w:pPr>
            <w:r>
              <w:rPr>
                <w:rFonts w:ascii="Times New Roman" w:hAnsi="Times New Roman" w:eastAsia="Times New Roman" w:cs="Times New Roman"/>
                <w:color w:val="auto"/>
                <w:spacing w:val="4"/>
                <w:lang w:eastAsia="zh-CN"/>
              </w:rPr>
              <w:t>“</w:t>
            </w:r>
            <w:r>
              <w:rPr>
                <w:color w:val="auto"/>
                <w:spacing w:val="4"/>
                <w:lang w:eastAsia="zh-CN"/>
              </w:rPr>
              <w:t>收支结余</w:t>
            </w:r>
            <w:r>
              <w:rPr>
                <w:rFonts w:ascii="Times New Roman" w:hAnsi="Times New Roman" w:eastAsia="Times New Roman" w:cs="Times New Roman"/>
                <w:color w:val="auto"/>
                <w:spacing w:val="4"/>
                <w:lang w:eastAsia="zh-CN"/>
              </w:rPr>
              <w:t>”</w:t>
            </w:r>
            <w:r>
              <w:rPr>
                <w:color w:val="auto"/>
                <w:spacing w:val="4"/>
                <w:lang w:eastAsia="zh-CN"/>
              </w:rPr>
              <w:t>以</w:t>
            </w:r>
            <w:r>
              <w:rPr>
                <w:rFonts w:ascii="Times New Roman" w:hAnsi="Times New Roman" w:eastAsia="Times New Roman" w:cs="Times New Roman"/>
                <w:color w:val="auto"/>
                <w:spacing w:val="4"/>
                <w:lang w:eastAsia="zh-CN"/>
              </w:rPr>
              <w:t>“</w:t>
            </w:r>
            <w:r>
              <w:rPr>
                <w:color w:val="auto"/>
                <w:spacing w:val="4"/>
                <w:lang w:eastAsia="zh-CN"/>
              </w:rPr>
              <w:t>医疗盈余率</w:t>
            </w:r>
            <w:r>
              <w:rPr>
                <w:rFonts w:ascii="Times New Roman" w:hAnsi="Times New Roman" w:eastAsia="Times New Roman" w:cs="Times New Roman"/>
                <w:color w:val="auto"/>
                <w:spacing w:val="4"/>
                <w:lang w:eastAsia="zh-CN"/>
              </w:rPr>
              <w:t>”</w:t>
            </w:r>
            <w:r>
              <w:rPr>
                <w:color w:val="auto"/>
                <w:spacing w:val="4"/>
                <w:lang w:eastAsia="zh-CN"/>
              </w:rPr>
              <w:t>表述，即医</w:t>
            </w:r>
            <w:r>
              <w:rPr>
                <w:color w:val="auto"/>
                <w:spacing w:val="6"/>
                <w:lang w:eastAsia="zh-CN"/>
              </w:rPr>
              <w:t>院医疗盈余占医疗活动收入的比例。</w:t>
            </w:r>
          </w:p>
        </w:tc>
        <w:tc>
          <w:tcPr>
            <w:tcW w:w="3527" w:type="dxa"/>
          </w:tcPr>
          <w:p>
            <w:pPr>
              <w:pStyle w:val="8"/>
              <w:spacing w:before="0" w:line="240" w:lineRule="exact"/>
              <w:ind w:left="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position w:val="1"/>
                <w:lang w:eastAsia="zh-CN"/>
              </w:rPr>
              <w:t>=</w:t>
            </w:r>
            <w:r>
              <w:rPr>
                <w:color w:val="auto"/>
                <w:spacing w:val="6"/>
                <w:position w:val="1"/>
                <w:lang w:eastAsia="zh-CN"/>
              </w:rPr>
              <w:t>医疗盈余</w:t>
            </w:r>
            <w:r>
              <w:rPr>
                <w:rFonts w:ascii="Times New Roman" w:hAnsi="Times New Roman" w:eastAsia="Times New Roman" w:cs="Times New Roman"/>
                <w:color w:val="auto"/>
                <w:spacing w:val="6"/>
                <w:position w:val="1"/>
                <w:lang w:eastAsia="zh-CN"/>
              </w:rPr>
              <w:t>/</w:t>
            </w:r>
            <w:r>
              <w:rPr>
                <w:color w:val="auto"/>
                <w:spacing w:val="6"/>
                <w:position w:val="1"/>
                <w:lang w:eastAsia="zh-CN"/>
              </w:rPr>
              <w:t>医疗活动收入</w:t>
            </w:r>
            <w:r>
              <w:rPr>
                <w:rFonts w:ascii="Times New Roman" w:hAnsi="Times New Roman" w:eastAsia="Times New Roman" w:cs="Times New Roman"/>
                <w:color w:val="auto"/>
                <w:spacing w:val="6"/>
                <w:position w:val="1"/>
                <w:lang w:eastAsia="zh-CN"/>
              </w:rPr>
              <w:t>×100%</w:t>
            </w:r>
          </w:p>
        </w:tc>
        <w:tc>
          <w:tcPr>
            <w:tcW w:w="1167" w:type="dxa"/>
          </w:tcPr>
          <w:p>
            <w:pPr>
              <w:pStyle w:val="8"/>
              <w:spacing w:before="0" w:line="240" w:lineRule="exact"/>
              <w:ind w:left="194"/>
              <w:rPr>
                <w:color w:val="auto"/>
              </w:rPr>
            </w:pPr>
            <w:r>
              <w:rPr>
                <w:color w:val="auto"/>
                <w:spacing w:val="6"/>
              </w:rPr>
              <w:t>监测比较</w:t>
            </w:r>
          </w:p>
        </w:tc>
      </w:tr>
    </w:tbl>
    <w:p>
      <w:pPr>
        <w:spacing w:line="127" w:lineRule="exact"/>
        <w:rPr>
          <w:color w:val="auto"/>
          <w:sz w:val="11"/>
        </w:rPr>
      </w:pPr>
    </w:p>
    <w:p>
      <w:pPr>
        <w:spacing w:line="127" w:lineRule="exact"/>
        <w:rPr>
          <w:color w:val="auto"/>
          <w:sz w:val="11"/>
          <w:szCs w:val="11"/>
        </w:rPr>
        <w:sectPr>
          <w:footerReference r:id="rId18" w:type="default"/>
          <w:pgSz w:w="16839" w:h="11906"/>
          <w:pgMar w:top="1012" w:right="1386" w:bottom="1494" w:left="1386" w:header="0" w:footer="1332" w:gutter="0"/>
          <w:pgNumType w:fmt="numberInDash"/>
          <w:cols w:space="720" w:num="1"/>
        </w:sectPr>
      </w:pPr>
    </w:p>
    <w:p>
      <w:pPr>
        <w:spacing w:before="18"/>
        <w:rPr>
          <w:color w:val="auto"/>
        </w:rPr>
      </w:pPr>
    </w:p>
    <w:p>
      <w:pPr>
        <w:spacing w:before="18"/>
        <w:rPr>
          <w:color w:val="auto"/>
        </w:rPr>
      </w:pPr>
    </w:p>
    <w:tbl>
      <w:tblPr>
        <w:tblStyle w:val="7"/>
        <w:tblW w:w="14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839"/>
        <w:gridCol w:w="1749"/>
        <w:gridCol w:w="1307"/>
        <w:gridCol w:w="1044"/>
        <w:gridCol w:w="3371"/>
        <w:gridCol w:w="3527"/>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56" w:type="dxa"/>
          </w:tcPr>
          <w:p>
            <w:pPr>
              <w:spacing w:before="202" w:line="230" w:lineRule="auto"/>
              <w:ind w:left="333"/>
              <w:rPr>
                <w:rFonts w:ascii="黑体" w:hAnsi="黑体" w:eastAsia="黑体" w:cs="黑体"/>
                <w:color w:val="auto"/>
                <w:sz w:val="19"/>
                <w:szCs w:val="19"/>
              </w:rPr>
            </w:pPr>
            <w:bookmarkStart w:id="1" w:name="bookmark8"/>
            <w:bookmarkEnd w:id="1"/>
            <w:r>
              <w:rPr>
                <w:rFonts w:ascii="黑体" w:hAnsi="黑体" w:eastAsia="黑体" w:cs="黑体"/>
                <w:color w:val="auto"/>
                <w:spacing w:val="4"/>
                <w:sz w:val="19"/>
                <w:szCs w:val="19"/>
              </w:rPr>
              <w:t>章节</w:t>
            </w:r>
          </w:p>
        </w:tc>
        <w:tc>
          <w:tcPr>
            <w:tcW w:w="2588" w:type="dxa"/>
            <w:gridSpan w:val="2"/>
          </w:tcPr>
          <w:p>
            <w:pPr>
              <w:spacing w:before="201" w:line="232" w:lineRule="auto"/>
              <w:ind w:left="1097"/>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307" w:type="dxa"/>
          </w:tcPr>
          <w:p>
            <w:pPr>
              <w:spacing w:before="202" w:line="231" w:lineRule="auto"/>
              <w:ind w:left="256"/>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044" w:type="dxa"/>
          </w:tcPr>
          <w:p>
            <w:pPr>
              <w:spacing w:before="202" w:line="231" w:lineRule="auto"/>
              <w:ind w:left="127"/>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371" w:type="dxa"/>
          </w:tcPr>
          <w:p>
            <w:pPr>
              <w:spacing w:before="201" w:line="232" w:lineRule="auto"/>
              <w:ind w:left="1289"/>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527" w:type="dxa"/>
          </w:tcPr>
          <w:p>
            <w:pPr>
              <w:spacing w:before="201" w:line="230" w:lineRule="auto"/>
              <w:ind w:left="1371"/>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167" w:type="dxa"/>
          </w:tcPr>
          <w:p>
            <w:pPr>
              <w:spacing w:before="202" w:line="231" w:lineRule="auto"/>
              <w:ind w:left="187"/>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56" w:type="dxa"/>
            <w:vMerge w:val="restart"/>
            <w:tcBorders>
              <w:bottom w:val="nil"/>
            </w:tcBorders>
          </w:tcPr>
          <w:p>
            <w:pPr>
              <w:rPr>
                <w:color w:val="auto"/>
              </w:rPr>
            </w:pPr>
          </w:p>
        </w:tc>
        <w:tc>
          <w:tcPr>
            <w:tcW w:w="839" w:type="dxa"/>
          </w:tcPr>
          <w:p>
            <w:pPr>
              <w:rPr>
                <w:color w:val="auto"/>
              </w:rPr>
            </w:pPr>
          </w:p>
        </w:tc>
        <w:tc>
          <w:tcPr>
            <w:tcW w:w="1749" w:type="dxa"/>
          </w:tcPr>
          <w:p>
            <w:pPr>
              <w:pStyle w:val="8"/>
              <w:spacing w:before="279" w:line="224" w:lineRule="auto"/>
              <w:ind w:left="19"/>
              <w:rPr>
                <w:color w:val="auto"/>
              </w:rPr>
            </w:pPr>
            <w:r>
              <w:rPr>
                <w:rFonts w:ascii="Times New Roman" w:hAnsi="Times New Roman" w:eastAsia="Times New Roman" w:cs="Times New Roman"/>
                <w:color w:val="auto"/>
                <w:spacing w:val="6"/>
              </w:rPr>
              <w:t>3.</w:t>
            </w:r>
            <w:r>
              <w:rPr>
                <w:color w:val="auto"/>
                <w:spacing w:val="6"/>
              </w:rPr>
              <w:t>资产负债率</w:t>
            </w:r>
          </w:p>
        </w:tc>
        <w:tc>
          <w:tcPr>
            <w:tcW w:w="1307" w:type="dxa"/>
          </w:tcPr>
          <w:p>
            <w:pPr>
              <w:pStyle w:val="8"/>
              <w:spacing w:before="37" w:line="224"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48"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7" w:line="224" w:lineRule="auto"/>
              <w:jc w:val="right"/>
              <w:rPr>
                <w:color w:val="auto"/>
                <w:lang w:eastAsia="zh-CN"/>
              </w:rPr>
            </w:pPr>
            <w:r>
              <w:rPr>
                <w:color w:val="auto"/>
                <w:spacing w:val="6"/>
                <w:lang w:eastAsia="zh-CN"/>
              </w:rPr>
              <w:t>年度医院负债合计与资产合计的比值。</w:t>
            </w:r>
          </w:p>
        </w:tc>
        <w:tc>
          <w:tcPr>
            <w:tcW w:w="3527" w:type="dxa"/>
          </w:tcPr>
          <w:p>
            <w:pPr>
              <w:pStyle w:val="8"/>
              <w:spacing w:before="282" w:line="261" w:lineRule="exact"/>
              <w:ind w:left="17"/>
              <w:rPr>
                <w:rFonts w:ascii="Times New Roman" w:hAnsi="Times New Roman" w:eastAsia="Times New Roman" w:cs="Times New Roman"/>
                <w:color w:val="auto"/>
              </w:rPr>
            </w:pPr>
            <w:r>
              <w:rPr>
                <w:rFonts w:ascii="Times New Roman" w:hAnsi="Times New Roman" w:eastAsia="Times New Roman" w:cs="Times New Roman"/>
                <w:color w:val="auto"/>
                <w:spacing w:val="5"/>
                <w:position w:val="1"/>
              </w:rPr>
              <w:t>=</w:t>
            </w:r>
            <w:r>
              <w:rPr>
                <w:color w:val="auto"/>
                <w:spacing w:val="5"/>
                <w:position w:val="1"/>
              </w:rPr>
              <w:t>负债合计</w:t>
            </w:r>
            <w:r>
              <w:rPr>
                <w:rFonts w:ascii="Times New Roman" w:hAnsi="Times New Roman" w:eastAsia="Times New Roman" w:cs="Times New Roman"/>
                <w:color w:val="auto"/>
                <w:spacing w:val="5"/>
                <w:position w:val="1"/>
              </w:rPr>
              <w:t>/</w:t>
            </w:r>
            <w:r>
              <w:rPr>
                <w:color w:val="auto"/>
                <w:spacing w:val="5"/>
                <w:position w:val="1"/>
              </w:rPr>
              <w:t>资产合计</w:t>
            </w:r>
            <w:r>
              <w:rPr>
                <w:rFonts w:ascii="Times New Roman" w:hAnsi="Times New Roman" w:eastAsia="Times New Roman" w:cs="Times New Roman"/>
                <w:color w:val="auto"/>
                <w:spacing w:val="5"/>
                <w:position w:val="1"/>
              </w:rPr>
              <w:t>×100%</w:t>
            </w:r>
          </w:p>
        </w:tc>
        <w:tc>
          <w:tcPr>
            <w:tcW w:w="1167" w:type="dxa"/>
          </w:tcPr>
          <w:p>
            <w:pPr>
              <w:pStyle w:val="8"/>
              <w:spacing w:before="278" w:line="225" w:lineRule="auto"/>
              <w:ind w:left="194"/>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56" w:type="dxa"/>
            <w:vMerge w:val="continue"/>
            <w:tcBorders>
              <w:top w:val="nil"/>
              <w:bottom w:val="nil"/>
            </w:tcBorders>
          </w:tcPr>
          <w:p>
            <w:pPr>
              <w:rPr>
                <w:color w:val="auto"/>
              </w:rPr>
            </w:pPr>
          </w:p>
        </w:tc>
        <w:tc>
          <w:tcPr>
            <w:tcW w:w="839" w:type="dxa"/>
            <w:vMerge w:val="restart"/>
            <w:tcBorders>
              <w:bottom w:val="nil"/>
            </w:tcBorders>
          </w:tcPr>
          <w:p>
            <w:pPr>
              <w:spacing w:line="272" w:lineRule="auto"/>
              <w:rPr>
                <w:color w:val="auto"/>
              </w:rPr>
            </w:pPr>
          </w:p>
          <w:p>
            <w:pPr>
              <w:spacing w:line="272" w:lineRule="auto"/>
              <w:rPr>
                <w:color w:val="auto"/>
              </w:rPr>
            </w:pPr>
          </w:p>
          <w:p>
            <w:pPr>
              <w:spacing w:line="273" w:lineRule="auto"/>
              <w:rPr>
                <w:color w:val="auto"/>
              </w:rPr>
            </w:pPr>
          </w:p>
          <w:p>
            <w:pPr>
              <w:spacing w:line="273" w:lineRule="auto"/>
              <w:rPr>
                <w:color w:val="auto"/>
              </w:rPr>
            </w:pPr>
          </w:p>
          <w:p>
            <w:pPr>
              <w:pStyle w:val="8"/>
              <w:spacing w:before="61" w:line="231" w:lineRule="auto"/>
              <w:ind w:left="17" w:right="15" w:hanging="3"/>
              <w:jc w:val="both"/>
              <w:rPr>
                <w:color w:val="auto"/>
              </w:rPr>
            </w:pPr>
            <w:r>
              <w:rPr>
                <w:color w:val="auto"/>
                <w:spacing w:val="11"/>
              </w:rPr>
              <w:t>（三）费</w:t>
            </w:r>
            <w:r>
              <w:rPr>
                <w:color w:val="auto"/>
                <w:spacing w:val="10"/>
              </w:rPr>
              <w:t>用控制情</w:t>
            </w:r>
            <w:r>
              <w:rPr>
                <w:color w:val="auto"/>
                <w:spacing w:val="1"/>
              </w:rPr>
              <w:t>况</w:t>
            </w:r>
          </w:p>
        </w:tc>
        <w:tc>
          <w:tcPr>
            <w:tcW w:w="1749" w:type="dxa"/>
          </w:tcPr>
          <w:p>
            <w:pPr>
              <w:pStyle w:val="8"/>
              <w:spacing w:before="157" w:line="230" w:lineRule="auto"/>
              <w:ind w:left="30" w:right="14" w:firstLine="4"/>
              <w:rPr>
                <w:color w:val="auto"/>
              </w:rPr>
            </w:pPr>
            <w:r>
              <w:rPr>
                <w:rFonts w:ascii="Times New Roman" w:hAnsi="Times New Roman" w:eastAsia="Times New Roman" w:cs="Times New Roman"/>
                <w:color w:val="auto"/>
                <w:spacing w:val="8"/>
              </w:rPr>
              <w:t>1.</w:t>
            </w:r>
            <w:r>
              <w:rPr>
                <w:color w:val="auto"/>
                <w:spacing w:val="8"/>
              </w:rPr>
              <w:t>门诊次均费用增</w:t>
            </w:r>
            <w:r>
              <w:rPr>
                <w:color w:val="auto"/>
              </w:rPr>
              <w:t>幅</w:t>
            </w:r>
          </w:p>
        </w:tc>
        <w:tc>
          <w:tcPr>
            <w:tcW w:w="1307" w:type="dxa"/>
          </w:tcPr>
          <w:p>
            <w:pPr>
              <w:pStyle w:val="8"/>
              <w:spacing w:before="37" w:line="224"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48"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8" w:line="214" w:lineRule="auto"/>
              <w:ind w:left="19" w:right="12" w:firstLine="3"/>
              <w:jc w:val="both"/>
              <w:rPr>
                <w:color w:val="auto"/>
                <w:lang w:eastAsia="zh-CN"/>
              </w:rPr>
            </w:pPr>
            <w:r>
              <w:rPr>
                <w:color w:val="auto"/>
                <w:spacing w:val="18"/>
                <w:lang w:eastAsia="zh-CN"/>
              </w:rPr>
              <w:t>年度门诊患者次均医药费用与上一年度次均医药费用之差与上一年度次均</w:t>
            </w:r>
            <w:r>
              <w:rPr>
                <w:color w:val="auto"/>
                <w:spacing w:val="7"/>
                <w:lang w:eastAsia="zh-CN"/>
              </w:rPr>
              <w:t>医药费用的比值。</w:t>
            </w:r>
          </w:p>
        </w:tc>
        <w:tc>
          <w:tcPr>
            <w:tcW w:w="3527" w:type="dxa"/>
          </w:tcPr>
          <w:p>
            <w:pPr>
              <w:pStyle w:val="8"/>
              <w:spacing w:before="43" w:line="222" w:lineRule="auto"/>
              <w:ind w:left="20" w:right="11" w:hanging="3"/>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本年度门诊患者次均医药费用</w:t>
            </w:r>
            <w:r>
              <w:rPr>
                <w:rFonts w:ascii="Times New Roman" w:hAnsi="Times New Roman" w:eastAsia="Times New Roman" w:cs="Times New Roman"/>
                <w:color w:val="auto"/>
                <w:spacing w:val="11"/>
                <w:lang w:eastAsia="zh-CN"/>
              </w:rPr>
              <w:t>-</w:t>
            </w:r>
            <w:r>
              <w:rPr>
                <w:color w:val="auto"/>
                <w:spacing w:val="11"/>
                <w:lang w:eastAsia="zh-CN"/>
              </w:rPr>
              <w:t>上一年</w:t>
            </w:r>
            <w:r>
              <w:rPr>
                <w:color w:val="auto"/>
                <w:spacing w:val="18"/>
                <w:lang w:eastAsia="zh-CN"/>
              </w:rPr>
              <w:t>度门诊患者次均医药费用</w:t>
            </w:r>
            <w:r>
              <w:rPr>
                <w:rFonts w:ascii="Times New Roman" w:hAnsi="Times New Roman" w:eastAsia="Times New Roman" w:cs="Times New Roman"/>
                <w:color w:val="auto"/>
                <w:spacing w:val="18"/>
                <w:lang w:eastAsia="zh-CN"/>
              </w:rPr>
              <w:t>)/</w:t>
            </w:r>
            <w:r>
              <w:rPr>
                <w:color w:val="auto"/>
                <w:spacing w:val="18"/>
                <w:lang w:eastAsia="zh-CN"/>
              </w:rPr>
              <w:t>上一年度门</w:t>
            </w:r>
            <w:r>
              <w:rPr>
                <w:color w:val="auto"/>
                <w:spacing w:val="6"/>
                <w:lang w:eastAsia="zh-CN"/>
              </w:rPr>
              <w:t>诊患者次均医药费用</w:t>
            </w:r>
            <w:r>
              <w:rPr>
                <w:rFonts w:ascii="Times New Roman" w:hAnsi="Times New Roman" w:eastAsia="Times New Roman" w:cs="Times New Roman"/>
                <w:color w:val="auto"/>
                <w:spacing w:val="6"/>
                <w:lang w:eastAsia="zh-CN"/>
              </w:rPr>
              <w:t>×100%</w:t>
            </w:r>
          </w:p>
        </w:tc>
        <w:tc>
          <w:tcPr>
            <w:tcW w:w="1167" w:type="dxa"/>
          </w:tcPr>
          <w:p>
            <w:pPr>
              <w:pStyle w:val="8"/>
              <w:spacing w:before="278" w:line="227" w:lineRule="auto"/>
              <w:ind w:left="184"/>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56" w:type="dxa"/>
            <w:vMerge w:val="continue"/>
            <w:tcBorders>
              <w:top w:val="nil"/>
              <w:bottom w:val="nil"/>
            </w:tcBorders>
          </w:tcPr>
          <w:p>
            <w:pPr>
              <w:rPr>
                <w:color w:val="auto"/>
              </w:rPr>
            </w:pPr>
          </w:p>
        </w:tc>
        <w:tc>
          <w:tcPr>
            <w:tcW w:w="839" w:type="dxa"/>
            <w:vMerge w:val="continue"/>
            <w:tcBorders>
              <w:top w:val="nil"/>
              <w:bottom w:val="nil"/>
            </w:tcBorders>
          </w:tcPr>
          <w:p>
            <w:pPr>
              <w:rPr>
                <w:color w:val="auto"/>
              </w:rPr>
            </w:pPr>
          </w:p>
        </w:tc>
        <w:tc>
          <w:tcPr>
            <w:tcW w:w="1749" w:type="dxa"/>
          </w:tcPr>
          <w:p>
            <w:pPr>
              <w:pStyle w:val="8"/>
              <w:spacing w:before="160" w:line="230" w:lineRule="auto"/>
              <w:ind w:left="18" w:right="184" w:hanging="3"/>
              <w:rPr>
                <w:color w:val="auto"/>
                <w:lang w:eastAsia="zh-CN"/>
              </w:rPr>
            </w:pPr>
            <w:r>
              <w:rPr>
                <w:rFonts w:ascii="Times New Roman" w:hAnsi="Times New Roman" w:eastAsia="Times New Roman" w:cs="Times New Roman"/>
                <w:color w:val="auto"/>
                <w:spacing w:val="4"/>
                <w:lang w:eastAsia="zh-CN"/>
              </w:rPr>
              <w:t>2.</w:t>
            </w:r>
            <w:r>
              <w:rPr>
                <w:color w:val="auto"/>
                <w:spacing w:val="4"/>
                <w:lang w:eastAsia="zh-CN"/>
              </w:rPr>
              <w:t>门诊次均药品费</w:t>
            </w:r>
            <w:r>
              <w:rPr>
                <w:color w:val="auto"/>
                <w:spacing w:val="7"/>
                <w:lang w:eastAsia="zh-CN"/>
              </w:rPr>
              <w:t>用增幅</w:t>
            </w:r>
          </w:p>
        </w:tc>
        <w:tc>
          <w:tcPr>
            <w:tcW w:w="1307" w:type="dxa"/>
          </w:tcPr>
          <w:p>
            <w:pPr>
              <w:pStyle w:val="8"/>
              <w:spacing w:before="40" w:line="223"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50" w:line="262"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71" w:line="213" w:lineRule="auto"/>
              <w:ind w:left="19" w:right="12" w:firstLine="3"/>
              <w:jc w:val="both"/>
              <w:rPr>
                <w:color w:val="auto"/>
                <w:lang w:eastAsia="zh-CN"/>
              </w:rPr>
            </w:pPr>
            <w:r>
              <w:rPr>
                <w:color w:val="auto"/>
                <w:spacing w:val="18"/>
                <w:lang w:eastAsia="zh-CN"/>
              </w:rPr>
              <w:t>年度门诊患者次均药品费用与上一年度次均药品费用之差与上一年度次均</w:t>
            </w:r>
            <w:r>
              <w:rPr>
                <w:color w:val="auto"/>
                <w:spacing w:val="7"/>
                <w:lang w:eastAsia="zh-CN"/>
              </w:rPr>
              <w:t>药品费用的比值。</w:t>
            </w:r>
          </w:p>
        </w:tc>
        <w:tc>
          <w:tcPr>
            <w:tcW w:w="3527" w:type="dxa"/>
          </w:tcPr>
          <w:p>
            <w:pPr>
              <w:pStyle w:val="8"/>
              <w:spacing w:before="43" w:line="222" w:lineRule="auto"/>
              <w:ind w:left="20" w:right="11" w:hanging="3"/>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本年度门诊患者次均药品费用</w:t>
            </w:r>
            <w:r>
              <w:rPr>
                <w:rFonts w:ascii="Times New Roman" w:hAnsi="Times New Roman" w:eastAsia="Times New Roman" w:cs="Times New Roman"/>
                <w:color w:val="auto"/>
                <w:spacing w:val="11"/>
                <w:lang w:eastAsia="zh-CN"/>
              </w:rPr>
              <w:t>-</w:t>
            </w:r>
            <w:r>
              <w:rPr>
                <w:color w:val="auto"/>
                <w:spacing w:val="11"/>
                <w:lang w:eastAsia="zh-CN"/>
              </w:rPr>
              <w:t>上一年</w:t>
            </w:r>
            <w:r>
              <w:rPr>
                <w:color w:val="auto"/>
                <w:spacing w:val="18"/>
                <w:lang w:eastAsia="zh-CN"/>
              </w:rPr>
              <w:t>度门诊患者次均药品费用</w:t>
            </w:r>
            <w:r>
              <w:rPr>
                <w:rFonts w:ascii="Times New Roman" w:hAnsi="Times New Roman" w:eastAsia="Times New Roman" w:cs="Times New Roman"/>
                <w:color w:val="auto"/>
                <w:spacing w:val="18"/>
                <w:lang w:eastAsia="zh-CN"/>
              </w:rPr>
              <w:t>)/</w:t>
            </w:r>
            <w:r>
              <w:rPr>
                <w:color w:val="auto"/>
                <w:spacing w:val="18"/>
                <w:lang w:eastAsia="zh-CN"/>
              </w:rPr>
              <w:t>上一年度门</w:t>
            </w:r>
            <w:r>
              <w:rPr>
                <w:color w:val="auto"/>
                <w:spacing w:val="6"/>
                <w:lang w:eastAsia="zh-CN"/>
              </w:rPr>
              <w:t>诊患者次均药品费用</w:t>
            </w:r>
            <w:r>
              <w:rPr>
                <w:rFonts w:ascii="Times New Roman" w:hAnsi="Times New Roman" w:eastAsia="Times New Roman" w:cs="Times New Roman"/>
                <w:color w:val="auto"/>
                <w:spacing w:val="6"/>
                <w:lang w:eastAsia="zh-CN"/>
              </w:rPr>
              <w:t>×100%</w:t>
            </w:r>
          </w:p>
        </w:tc>
        <w:tc>
          <w:tcPr>
            <w:tcW w:w="1167" w:type="dxa"/>
          </w:tcPr>
          <w:p>
            <w:pPr>
              <w:pStyle w:val="8"/>
              <w:spacing w:before="280" w:line="227" w:lineRule="auto"/>
              <w:ind w:left="184"/>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56" w:type="dxa"/>
            <w:vMerge w:val="continue"/>
            <w:tcBorders>
              <w:top w:val="nil"/>
              <w:bottom w:val="nil"/>
            </w:tcBorders>
          </w:tcPr>
          <w:p>
            <w:pPr>
              <w:rPr>
                <w:color w:val="auto"/>
              </w:rPr>
            </w:pPr>
          </w:p>
        </w:tc>
        <w:tc>
          <w:tcPr>
            <w:tcW w:w="839" w:type="dxa"/>
            <w:vMerge w:val="continue"/>
            <w:tcBorders>
              <w:top w:val="nil"/>
              <w:bottom w:val="nil"/>
            </w:tcBorders>
          </w:tcPr>
          <w:p>
            <w:pPr>
              <w:rPr>
                <w:color w:val="auto"/>
              </w:rPr>
            </w:pPr>
          </w:p>
        </w:tc>
        <w:tc>
          <w:tcPr>
            <w:tcW w:w="1749" w:type="dxa"/>
          </w:tcPr>
          <w:p>
            <w:pPr>
              <w:pStyle w:val="8"/>
              <w:spacing w:before="160" w:line="230" w:lineRule="auto"/>
              <w:ind w:left="29" w:right="184" w:hanging="10"/>
              <w:rPr>
                <w:color w:val="auto"/>
              </w:rPr>
            </w:pPr>
            <w:r>
              <w:rPr>
                <w:rFonts w:ascii="Times New Roman" w:hAnsi="Times New Roman" w:eastAsia="Times New Roman" w:cs="Times New Roman"/>
                <w:color w:val="auto"/>
                <w:spacing w:val="7"/>
              </w:rPr>
              <w:t>3.</w:t>
            </w:r>
            <w:r>
              <w:rPr>
                <w:color w:val="auto"/>
                <w:spacing w:val="7"/>
              </w:rPr>
              <w:t>住院次均费用增</w:t>
            </w:r>
            <w:r>
              <w:rPr>
                <w:color w:val="auto"/>
              </w:rPr>
              <w:t>幅</w:t>
            </w:r>
          </w:p>
        </w:tc>
        <w:tc>
          <w:tcPr>
            <w:tcW w:w="1307" w:type="dxa"/>
          </w:tcPr>
          <w:p>
            <w:pPr>
              <w:pStyle w:val="8"/>
              <w:spacing w:before="40" w:line="223"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50" w:line="262"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71" w:line="213" w:lineRule="auto"/>
              <w:ind w:left="19" w:right="12" w:firstLine="3"/>
              <w:jc w:val="both"/>
              <w:rPr>
                <w:color w:val="auto"/>
                <w:lang w:eastAsia="zh-CN"/>
              </w:rPr>
            </w:pPr>
            <w:r>
              <w:rPr>
                <w:color w:val="auto"/>
                <w:spacing w:val="18"/>
                <w:lang w:eastAsia="zh-CN"/>
              </w:rPr>
              <w:t>年度出院患者次均医药费用与上一年度出院患者次均医药费用之差与上一</w:t>
            </w:r>
            <w:r>
              <w:rPr>
                <w:color w:val="auto"/>
                <w:spacing w:val="8"/>
                <w:lang w:eastAsia="zh-CN"/>
              </w:rPr>
              <w:t>年度出院患者次均医药费用的比值。</w:t>
            </w:r>
          </w:p>
        </w:tc>
        <w:tc>
          <w:tcPr>
            <w:tcW w:w="3527" w:type="dxa"/>
          </w:tcPr>
          <w:p>
            <w:pPr>
              <w:pStyle w:val="8"/>
              <w:spacing w:before="43" w:line="222" w:lineRule="auto"/>
              <w:ind w:left="20" w:right="11" w:hanging="3"/>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本年度出院患者次均医药费用</w:t>
            </w:r>
            <w:r>
              <w:rPr>
                <w:rFonts w:ascii="Times New Roman" w:hAnsi="Times New Roman" w:eastAsia="Times New Roman" w:cs="Times New Roman"/>
                <w:color w:val="auto"/>
                <w:spacing w:val="11"/>
                <w:lang w:eastAsia="zh-CN"/>
              </w:rPr>
              <w:t>-</w:t>
            </w:r>
            <w:r>
              <w:rPr>
                <w:color w:val="auto"/>
                <w:spacing w:val="11"/>
                <w:lang w:eastAsia="zh-CN"/>
              </w:rPr>
              <w:t>上一年</w:t>
            </w:r>
            <w:r>
              <w:rPr>
                <w:color w:val="auto"/>
                <w:spacing w:val="18"/>
                <w:lang w:eastAsia="zh-CN"/>
              </w:rPr>
              <w:t>度出院患者次均医药费用</w:t>
            </w:r>
            <w:r>
              <w:rPr>
                <w:rFonts w:ascii="Times New Roman" w:hAnsi="Times New Roman" w:eastAsia="Times New Roman" w:cs="Times New Roman"/>
                <w:color w:val="auto"/>
                <w:spacing w:val="18"/>
                <w:lang w:eastAsia="zh-CN"/>
              </w:rPr>
              <w:t>)/</w:t>
            </w:r>
            <w:r>
              <w:rPr>
                <w:color w:val="auto"/>
                <w:spacing w:val="18"/>
                <w:lang w:eastAsia="zh-CN"/>
              </w:rPr>
              <w:t>上一年度出</w:t>
            </w:r>
            <w:r>
              <w:rPr>
                <w:color w:val="auto"/>
                <w:spacing w:val="6"/>
                <w:lang w:eastAsia="zh-CN"/>
              </w:rPr>
              <w:t>院患者次均医药费用</w:t>
            </w:r>
            <w:r>
              <w:rPr>
                <w:rFonts w:ascii="Times New Roman" w:hAnsi="Times New Roman" w:eastAsia="Times New Roman" w:cs="Times New Roman"/>
                <w:color w:val="auto"/>
                <w:spacing w:val="6"/>
                <w:lang w:eastAsia="zh-CN"/>
              </w:rPr>
              <w:t>×100%</w:t>
            </w:r>
          </w:p>
        </w:tc>
        <w:tc>
          <w:tcPr>
            <w:tcW w:w="1167" w:type="dxa"/>
          </w:tcPr>
          <w:p>
            <w:pPr>
              <w:pStyle w:val="8"/>
              <w:spacing w:before="280" w:line="227" w:lineRule="auto"/>
              <w:ind w:left="184"/>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continue"/>
            <w:tcBorders>
              <w:top w:val="nil"/>
            </w:tcBorders>
          </w:tcPr>
          <w:p>
            <w:pPr>
              <w:rPr>
                <w:color w:val="auto"/>
              </w:rPr>
            </w:pPr>
          </w:p>
        </w:tc>
        <w:tc>
          <w:tcPr>
            <w:tcW w:w="839" w:type="dxa"/>
            <w:vMerge w:val="continue"/>
            <w:tcBorders>
              <w:top w:val="nil"/>
            </w:tcBorders>
          </w:tcPr>
          <w:p>
            <w:pPr>
              <w:rPr>
                <w:color w:val="auto"/>
              </w:rPr>
            </w:pPr>
          </w:p>
        </w:tc>
        <w:tc>
          <w:tcPr>
            <w:tcW w:w="1749" w:type="dxa"/>
          </w:tcPr>
          <w:p>
            <w:pPr>
              <w:pStyle w:val="8"/>
              <w:spacing w:before="162" w:line="230" w:lineRule="auto"/>
              <w:ind w:left="18" w:right="184" w:hanging="4"/>
              <w:rPr>
                <w:color w:val="auto"/>
                <w:lang w:eastAsia="zh-CN"/>
              </w:rPr>
            </w:pPr>
            <w:r>
              <w:rPr>
                <w:rFonts w:ascii="Times New Roman" w:hAnsi="Times New Roman" w:eastAsia="Times New Roman" w:cs="Times New Roman"/>
                <w:color w:val="auto"/>
                <w:spacing w:val="8"/>
                <w:lang w:eastAsia="zh-CN"/>
              </w:rPr>
              <w:t>4.</w:t>
            </w:r>
            <w:r>
              <w:rPr>
                <w:color w:val="auto"/>
                <w:spacing w:val="8"/>
                <w:lang w:eastAsia="zh-CN"/>
              </w:rPr>
              <w:t>住院次均药品费</w:t>
            </w:r>
            <w:r>
              <w:rPr>
                <w:color w:val="auto"/>
                <w:spacing w:val="7"/>
                <w:lang w:eastAsia="zh-CN"/>
              </w:rPr>
              <w:t>用增幅</w:t>
            </w:r>
          </w:p>
        </w:tc>
        <w:tc>
          <w:tcPr>
            <w:tcW w:w="1307" w:type="dxa"/>
          </w:tcPr>
          <w:p>
            <w:pPr>
              <w:pStyle w:val="8"/>
              <w:spacing w:before="44" w:line="222"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53" w:line="261" w:lineRule="exact"/>
              <w:jc w:val="right"/>
              <w:rPr>
                <w:color w:val="auto"/>
              </w:rPr>
            </w:pPr>
            <w:r>
              <w:rPr>
                <w:color w:val="auto"/>
                <w:spacing w:val="-17"/>
                <w:position w:val="1"/>
              </w:rPr>
              <w:t>百分比（</w:t>
            </w:r>
            <w:r>
              <w:rPr>
                <w:rFonts w:ascii="Times New Roman" w:hAnsi="Times New Roman" w:eastAsia="Times New Roman" w:cs="Times New Roman"/>
                <w:color w:val="auto"/>
                <w:spacing w:val="-17"/>
                <w:position w:val="1"/>
              </w:rPr>
              <w:t>%</w:t>
            </w:r>
            <w:r>
              <w:rPr>
                <w:color w:val="auto"/>
                <w:spacing w:val="-17"/>
                <w:position w:val="1"/>
              </w:rPr>
              <w:t>）</w:t>
            </w:r>
          </w:p>
        </w:tc>
        <w:tc>
          <w:tcPr>
            <w:tcW w:w="3371" w:type="dxa"/>
          </w:tcPr>
          <w:p>
            <w:pPr>
              <w:pStyle w:val="8"/>
              <w:spacing w:before="69" w:line="214" w:lineRule="auto"/>
              <w:ind w:left="19" w:right="12" w:firstLine="3"/>
              <w:jc w:val="both"/>
              <w:rPr>
                <w:color w:val="auto"/>
                <w:lang w:eastAsia="zh-CN"/>
              </w:rPr>
            </w:pPr>
            <w:r>
              <w:rPr>
                <w:color w:val="auto"/>
                <w:spacing w:val="18"/>
                <w:lang w:eastAsia="zh-CN"/>
              </w:rPr>
              <w:t>年度住院患者次均药品费用与上一年度次均药品费用之差与上一年度次均</w:t>
            </w:r>
            <w:r>
              <w:rPr>
                <w:color w:val="auto"/>
                <w:spacing w:val="7"/>
                <w:lang w:eastAsia="zh-CN"/>
              </w:rPr>
              <w:t>药品费用的比值。</w:t>
            </w:r>
          </w:p>
        </w:tc>
        <w:tc>
          <w:tcPr>
            <w:tcW w:w="3527" w:type="dxa"/>
          </w:tcPr>
          <w:p>
            <w:pPr>
              <w:pStyle w:val="8"/>
              <w:spacing w:before="47" w:line="221" w:lineRule="auto"/>
              <w:ind w:left="20" w:right="11" w:hanging="3"/>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本年度出院患者次均药品费用</w:t>
            </w:r>
            <w:r>
              <w:rPr>
                <w:rFonts w:ascii="Times New Roman" w:hAnsi="Times New Roman" w:eastAsia="Times New Roman" w:cs="Times New Roman"/>
                <w:color w:val="auto"/>
                <w:spacing w:val="11"/>
                <w:lang w:eastAsia="zh-CN"/>
              </w:rPr>
              <w:t>-</w:t>
            </w:r>
            <w:r>
              <w:rPr>
                <w:color w:val="auto"/>
                <w:spacing w:val="11"/>
                <w:lang w:eastAsia="zh-CN"/>
              </w:rPr>
              <w:t>上一年</w:t>
            </w:r>
            <w:r>
              <w:rPr>
                <w:color w:val="auto"/>
                <w:spacing w:val="18"/>
                <w:lang w:eastAsia="zh-CN"/>
              </w:rPr>
              <w:t>度出院患者次均药品费用</w:t>
            </w:r>
            <w:r>
              <w:rPr>
                <w:rFonts w:ascii="Times New Roman" w:hAnsi="Times New Roman" w:eastAsia="Times New Roman" w:cs="Times New Roman"/>
                <w:color w:val="auto"/>
                <w:spacing w:val="18"/>
                <w:lang w:eastAsia="zh-CN"/>
              </w:rPr>
              <w:t>)/</w:t>
            </w:r>
            <w:r>
              <w:rPr>
                <w:color w:val="auto"/>
                <w:spacing w:val="18"/>
                <w:lang w:eastAsia="zh-CN"/>
              </w:rPr>
              <w:t>上一年度出</w:t>
            </w:r>
            <w:r>
              <w:rPr>
                <w:color w:val="auto"/>
                <w:spacing w:val="6"/>
                <w:lang w:eastAsia="zh-CN"/>
              </w:rPr>
              <w:t>院患者次均药品费用</w:t>
            </w:r>
            <w:r>
              <w:rPr>
                <w:rFonts w:ascii="Times New Roman" w:hAnsi="Times New Roman" w:eastAsia="Times New Roman" w:cs="Times New Roman"/>
                <w:color w:val="auto"/>
                <w:spacing w:val="6"/>
                <w:lang w:eastAsia="zh-CN"/>
              </w:rPr>
              <w:t>×100%</w:t>
            </w:r>
          </w:p>
        </w:tc>
        <w:tc>
          <w:tcPr>
            <w:tcW w:w="1167" w:type="dxa"/>
          </w:tcPr>
          <w:p>
            <w:pPr>
              <w:pStyle w:val="8"/>
              <w:spacing w:before="283" w:line="227" w:lineRule="auto"/>
              <w:ind w:left="184"/>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restart"/>
            <w:tcBorders>
              <w:bottom w:val="nil"/>
            </w:tcBorders>
          </w:tcPr>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8" w:lineRule="auto"/>
              <w:rPr>
                <w:color w:val="auto"/>
              </w:rPr>
            </w:pPr>
          </w:p>
          <w:p>
            <w:pPr>
              <w:pStyle w:val="8"/>
              <w:spacing w:before="62" w:line="230" w:lineRule="auto"/>
              <w:ind w:left="21" w:right="16" w:firstLine="8"/>
              <w:rPr>
                <w:color w:val="auto"/>
              </w:rPr>
            </w:pPr>
            <w:r>
              <w:rPr>
                <w:color w:val="auto"/>
                <w:spacing w:val="11"/>
              </w:rPr>
              <w:t>五、科研指</w:t>
            </w:r>
            <w:r>
              <w:rPr>
                <w:color w:val="auto"/>
                <w:spacing w:val="2"/>
              </w:rPr>
              <w:t>标</w:t>
            </w:r>
          </w:p>
        </w:tc>
        <w:tc>
          <w:tcPr>
            <w:tcW w:w="839" w:type="dxa"/>
            <w:vMerge w:val="restart"/>
            <w:tcBorders>
              <w:bottom w:val="nil"/>
            </w:tcBorders>
          </w:tcPr>
          <w:p>
            <w:pPr>
              <w:pStyle w:val="8"/>
              <w:spacing w:before="41" w:line="230" w:lineRule="auto"/>
              <w:ind w:left="19" w:right="15" w:hanging="5"/>
              <w:jc w:val="both"/>
              <w:rPr>
                <w:color w:val="auto"/>
                <w:lang w:eastAsia="zh-CN"/>
              </w:rPr>
            </w:pPr>
            <w:r>
              <w:rPr>
                <w:color w:val="auto"/>
                <w:spacing w:val="-3"/>
                <w:lang w:eastAsia="zh-CN"/>
              </w:rPr>
              <w:t>（一）新</w:t>
            </w:r>
            <w:r>
              <w:rPr>
                <w:color w:val="auto"/>
                <w:spacing w:val="9"/>
                <w:lang w:eastAsia="zh-CN"/>
              </w:rPr>
              <w:t>技术临床</w:t>
            </w:r>
            <w:r>
              <w:rPr>
                <w:color w:val="auto"/>
                <w:spacing w:val="7"/>
                <w:lang w:eastAsia="zh-CN"/>
              </w:rPr>
              <w:t>转化数量</w:t>
            </w:r>
          </w:p>
        </w:tc>
        <w:tc>
          <w:tcPr>
            <w:tcW w:w="1749" w:type="dxa"/>
          </w:tcPr>
          <w:p>
            <w:pPr>
              <w:pStyle w:val="8"/>
              <w:spacing w:before="161" w:line="230" w:lineRule="auto"/>
              <w:ind w:left="20" w:right="134" w:firstLine="13"/>
              <w:rPr>
                <w:color w:val="auto"/>
                <w:lang w:eastAsia="zh-CN"/>
              </w:rPr>
            </w:pPr>
            <w:r>
              <w:rPr>
                <w:rFonts w:ascii="Times New Roman" w:hAnsi="Times New Roman" w:eastAsia="Times New Roman" w:cs="Times New Roman"/>
                <w:color w:val="auto"/>
                <w:spacing w:val="5"/>
                <w:lang w:eastAsia="zh-CN"/>
              </w:rPr>
              <w:t>1.</w:t>
            </w:r>
            <w:r>
              <w:rPr>
                <w:color w:val="auto"/>
                <w:spacing w:val="5"/>
                <w:lang w:eastAsia="zh-CN"/>
              </w:rPr>
              <w:t>每百名卫生技术</w:t>
            </w:r>
            <w:r>
              <w:rPr>
                <w:color w:val="auto"/>
                <w:spacing w:val="8"/>
                <w:lang w:eastAsia="zh-CN"/>
              </w:rPr>
              <w:t>人员科研项目经费</w:t>
            </w:r>
          </w:p>
        </w:tc>
        <w:tc>
          <w:tcPr>
            <w:tcW w:w="1307" w:type="dxa"/>
          </w:tcPr>
          <w:p>
            <w:pPr>
              <w:pStyle w:val="8"/>
              <w:spacing w:before="41" w:line="223"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82" w:line="230" w:lineRule="auto"/>
              <w:ind w:left="433"/>
              <w:rPr>
                <w:color w:val="auto"/>
              </w:rPr>
            </w:pPr>
            <w:r>
              <w:rPr>
                <w:color w:val="auto"/>
              </w:rPr>
              <w:t>元</w:t>
            </w:r>
          </w:p>
        </w:tc>
        <w:tc>
          <w:tcPr>
            <w:tcW w:w="3371" w:type="dxa"/>
          </w:tcPr>
          <w:p>
            <w:pPr>
              <w:pStyle w:val="8"/>
              <w:spacing w:before="71" w:line="230" w:lineRule="auto"/>
              <w:ind w:left="25" w:right="12" w:hanging="2"/>
              <w:rPr>
                <w:color w:val="auto"/>
                <w:lang w:eastAsia="zh-CN"/>
              </w:rPr>
            </w:pPr>
            <w:r>
              <w:rPr>
                <w:color w:val="auto"/>
                <w:spacing w:val="18"/>
                <w:lang w:eastAsia="zh-CN"/>
              </w:rPr>
              <w:t>年度每百名卫生技术人员立项的科研</w:t>
            </w:r>
            <w:r>
              <w:rPr>
                <w:color w:val="auto"/>
                <w:spacing w:val="5"/>
                <w:lang w:eastAsia="zh-CN"/>
              </w:rPr>
              <w:t>经费总金额。</w:t>
            </w:r>
          </w:p>
        </w:tc>
        <w:tc>
          <w:tcPr>
            <w:tcW w:w="3527" w:type="dxa"/>
          </w:tcPr>
          <w:p>
            <w:pPr>
              <w:pStyle w:val="8"/>
              <w:spacing w:before="45" w:line="242" w:lineRule="auto"/>
              <w:ind w:left="44" w:right="9" w:hanging="2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本年度科研项目立项经费总金额</w:t>
            </w:r>
            <w:r>
              <w:rPr>
                <w:rFonts w:ascii="Times New Roman" w:hAnsi="Times New Roman" w:eastAsia="Times New Roman" w:cs="Times New Roman"/>
                <w:color w:val="auto"/>
                <w:spacing w:val="16"/>
                <w:lang w:eastAsia="zh-CN"/>
              </w:rPr>
              <w:t>/</w:t>
            </w:r>
            <w:r>
              <w:rPr>
                <w:color w:val="auto"/>
                <w:spacing w:val="16"/>
                <w:lang w:eastAsia="zh-CN"/>
              </w:rPr>
              <w:t>同期</w:t>
            </w:r>
            <w:r>
              <w:rPr>
                <w:color w:val="auto"/>
                <w:spacing w:val="4"/>
                <w:lang w:eastAsia="zh-CN"/>
              </w:rPr>
              <w:t>医院卫生技术人员总数</w:t>
            </w:r>
            <w:r>
              <w:rPr>
                <w:rFonts w:ascii="Times New Roman" w:hAnsi="Times New Roman" w:eastAsia="Times New Roman" w:cs="Times New Roman"/>
                <w:color w:val="auto"/>
                <w:spacing w:val="4"/>
                <w:lang w:eastAsia="zh-CN"/>
              </w:rPr>
              <w:t>×100</w:t>
            </w:r>
          </w:p>
        </w:tc>
        <w:tc>
          <w:tcPr>
            <w:tcW w:w="1167" w:type="dxa"/>
          </w:tcPr>
          <w:p>
            <w:pPr>
              <w:pStyle w:val="8"/>
              <w:spacing w:before="282" w:line="227" w:lineRule="auto"/>
              <w:ind w:left="184"/>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continue"/>
            <w:tcBorders>
              <w:top w:val="nil"/>
              <w:bottom w:val="nil"/>
            </w:tcBorders>
          </w:tcPr>
          <w:p>
            <w:pPr>
              <w:rPr>
                <w:color w:val="auto"/>
              </w:rPr>
            </w:pPr>
          </w:p>
        </w:tc>
        <w:tc>
          <w:tcPr>
            <w:tcW w:w="839" w:type="dxa"/>
            <w:vMerge w:val="continue"/>
            <w:tcBorders>
              <w:top w:val="nil"/>
            </w:tcBorders>
          </w:tcPr>
          <w:p>
            <w:pPr>
              <w:rPr>
                <w:color w:val="auto"/>
              </w:rPr>
            </w:pPr>
          </w:p>
        </w:tc>
        <w:tc>
          <w:tcPr>
            <w:tcW w:w="1749" w:type="dxa"/>
          </w:tcPr>
          <w:p>
            <w:pPr>
              <w:pStyle w:val="8"/>
              <w:spacing w:before="44" w:line="222" w:lineRule="auto"/>
              <w:ind w:left="20" w:right="134" w:hanging="5"/>
              <w:jc w:val="both"/>
              <w:rPr>
                <w:color w:val="auto"/>
                <w:lang w:eastAsia="zh-CN"/>
              </w:rPr>
            </w:pPr>
            <w:r>
              <w:rPr>
                <w:rFonts w:ascii="Times New Roman" w:hAnsi="Times New Roman" w:eastAsia="Times New Roman" w:cs="Times New Roman"/>
                <w:color w:val="auto"/>
                <w:spacing w:val="7"/>
                <w:lang w:eastAsia="zh-CN"/>
              </w:rPr>
              <w:t>2.</w:t>
            </w:r>
            <w:r>
              <w:rPr>
                <w:color w:val="auto"/>
                <w:spacing w:val="7"/>
                <w:lang w:eastAsia="zh-CN"/>
              </w:rPr>
              <w:t>每百名卫生技术</w:t>
            </w:r>
            <w:r>
              <w:rPr>
                <w:color w:val="auto"/>
                <w:spacing w:val="8"/>
                <w:lang w:eastAsia="zh-CN"/>
              </w:rPr>
              <w:t>人员科技成果转化</w:t>
            </w:r>
            <w:r>
              <w:rPr>
                <w:color w:val="auto"/>
                <w:spacing w:val="4"/>
                <w:lang w:eastAsia="zh-CN"/>
              </w:rPr>
              <w:t>金额</w:t>
            </w:r>
          </w:p>
        </w:tc>
        <w:tc>
          <w:tcPr>
            <w:tcW w:w="1307" w:type="dxa"/>
          </w:tcPr>
          <w:p>
            <w:pPr>
              <w:pStyle w:val="8"/>
              <w:spacing w:before="44" w:line="222"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84" w:line="230" w:lineRule="auto"/>
              <w:ind w:left="433"/>
              <w:rPr>
                <w:color w:val="auto"/>
              </w:rPr>
            </w:pPr>
            <w:r>
              <w:rPr>
                <w:color w:val="auto"/>
              </w:rPr>
              <w:t>元</w:t>
            </w:r>
          </w:p>
        </w:tc>
        <w:tc>
          <w:tcPr>
            <w:tcW w:w="3371" w:type="dxa"/>
          </w:tcPr>
          <w:p>
            <w:pPr>
              <w:pStyle w:val="8"/>
              <w:spacing w:before="69" w:line="230" w:lineRule="auto"/>
              <w:ind w:left="27" w:right="12" w:hanging="4"/>
              <w:rPr>
                <w:color w:val="auto"/>
                <w:lang w:eastAsia="zh-CN"/>
              </w:rPr>
            </w:pPr>
            <w:r>
              <w:rPr>
                <w:color w:val="auto"/>
                <w:spacing w:val="18"/>
                <w:lang w:eastAsia="zh-CN"/>
              </w:rPr>
              <w:t>年度每百名卫生技术人员科研成果转</w:t>
            </w:r>
            <w:r>
              <w:rPr>
                <w:color w:val="auto"/>
                <w:spacing w:val="5"/>
                <w:lang w:eastAsia="zh-CN"/>
              </w:rPr>
              <w:t>化的金额数。</w:t>
            </w:r>
          </w:p>
        </w:tc>
        <w:tc>
          <w:tcPr>
            <w:tcW w:w="3527" w:type="dxa"/>
          </w:tcPr>
          <w:p>
            <w:pPr>
              <w:pStyle w:val="8"/>
              <w:spacing w:before="46" w:line="241" w:lineRule="auto"/>
              <w:ind w:left="26" w:right="9"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本年度科技成果转化总金额</w:t>
            </w:r>
            <w:r>
              <w:rPr>
                <w:rFonts w:ascii="Times New Roman" w:hAnsi="Times New Roman" w:eastAsia="Times New Roman" w:cs="Times New Roman"/>
                <w:color w:val="auto"/>
                <w:spacing w:val="16"/>
                <w:lang w:eastAsia="zh-CN"/>
              </w:rPr>
              <w:t>/</w:t>
            </w:r>
            <w:r>
              <w:rPr>
                <w:color w:val="auto"/>
                <w:spacing w:val="16"/>
                <w:lang w:eastAsia="zh-CN"/>
              </w:rPr>
              <w:t>同期医院</w:t>
            </w:r>
            <w:r>
              <w:rPr>
                <w:color w:val="auto"/>
                <w:spacing w:val="5"/>
                <w:lang w:eastAsia="zh-CN"/>
              </w:rPr>
              <w:t>卫生技术人员总数</w:t>
            </w:r>
            <w:r>
              <w:rPr>
                <w:rFonts w:ascii="Times New Roman" w:hAnsi="Times New Roman" w:eastAsia="Times New Roman" w:cs="Times New Roman"/>
                <w:color w:val="auto"/>
                <w:spacing w:val="5"/>
                <w:lang w:eastAsia="zh-CN"/>
              </w:rPr>
              <w:t>×100</w:t>
            </w:r>
          </w:p>
        </w:tc>
        <w:tc>
          <w:tcPr>
            <w:tcW w:w="1167" w:type="dxa"/>
          </w:tcPr>
          <w:p>
            <w:pPr>
              <w:pStyle w:val="8"/>
              <w:spacing w:before="284" w:line="227" w:lineRule="auto"/>
              <w:ind w:left="184"/>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56" w:type="dxa"/>
            <w:vMerge w:val="continue"/>
            <w:tcBorders>
              <w:top w:val="nil"/>
              <w:bottom w:val="nil"/>
            </w:tcBorders>
          </w:tcPr>
          <w:p>
            <w:pPr>
              <w:rPr>
                <w:color w:val="auto"/>
              </w:rPr>
            </w:pPr>
          </w:p>
        </w:tc>
        <w:tc>
          <w:tcPr>
            <w:tcW w:w="839" w:type="dxa"/>
            <w:vMerge w:val="restart"/>
            <w:tcBorders>
              <w:bottom w:val="nil"/>
            </w:tcBorders>
          </w:tcPr>
          <w:p>
            <w:pPr>
              <w:pStyle w:val="8"/>
              <w:spacing w:before="44" w:line="231" w:lineRule="auto"/>
              <w:ind w:left="14" w:right="15"/>
              <w:jc w:val="both"/>
              <w:rPr>
                <w:color w:val="auto"/>
                <w:lang w:eastAsia="zh-CN"/>
              </w:rPr>
            </w:pPr>
            <w:r>
              <w:rPr>
                <w:color w:val="auto"/>
                <w:spacing w:val="-2"/>
                <w:lang w:eastAsia="zh-CN"/>
              </w:rPr>
              <w:t>（二）取</w:t>
            </w:r>
            <w:r>
              <w:rPr>
                <w:color w:val="auto"/>
                <w:spacing w:val="10"/>
                <w:lang w:eastAsia="zh-CN"/>
              </w:rPr>
              <w:t>得临床相关国家专</w:t>
            </w:r>
            <w:r>
              <w:rPr>
                <w:color w:val="auto"/>
                <w:spacing w:val="8"/>
                <w:lang w:eastAsia="zh-CN"/>
              </w:rPr>
              <w:t>利数量</w:t>
            </w:r>
          </w:p>
        </w:tc>
        <w:tc>
          <w:tcPr>
            <w:tcW w:w="1749" w:type="dxa"/>
          </w:tcPr>
          <w:p>
            <w:pPr>
              <w:pStyle w:val="8"/>
              <w:spacing w:before="161" w:line="230" w:lineRule="auto"/>
              <w:ind w:left="20" w:right="134" w:firstLine="13"/>
              <w:rPr>
                <w:color w:val="auto"/>
                <w:lang w:eastAsia="zh-CN"/>
              </w:rPr>
            </w:pPr>
            <w:r>
              <w:rPr>
                <w:rFonts w:ascii="Times New Roman" w:hAnsi="Times New Roman" w:eastAsia="Times New Roman" w:cs="Times New Roman"/>
                <w:color w:val="auto"/>
                <w:spacing w:val="5"/>
                <w:lang w:eastAsia="zh-CN"/>
              </w:rPr>
              <w:t>1.</w:t>
            </w:r>
            <w:r>
              <w:rPr>
                <w:color w:val="auto"/>
                <w:spacing w:val="5"/>
                <w:lang w:eastAsia="zh-CN"/>
              </w:rPr>
              <w:t>每百名卫生技术</w:t>
            </w:r>
            <w:r>
              <w:rPr>
                <w:color w:val="auto"/>
                <w:spacing w:val="8"/>
                <w:lang w:eastAsia="zh-CN"/>
              </w:rPr>
              <w:t>人员发明专利数量</w:t>
            </w:r>
          </w:p>
        </w:tc>
        <w:tc>
          <w:tcPr>
            <w:tcW w:w="1307" w:type="dxa"/>
          </w:tcPr>
          <w:p>
            <w:pPr>
              <w:pStyle w:val="8"/>
              <w:spacing w:before="41" w:line="223"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83" w:line="227" w:lineRule="auto"/>
              <w:ind w:left="428"/>
              <w:rPr>
                <w:color w:val="auto"/>
              </w:rPr>
            </w:pPr>
            <w:r>
              <w:rPr>
                <w:color w:val="auto"/>
              </w:rPr>
              <w:t>项</w:t>
            </w:r>
          </w:p>
        </w:tc>
        <w:tc>
          <w:tcPr>
            <w:tcW w:w="3371" w:type="dxa"/>
          </w:tcPr>
          <w:p>
            <w:pPr>
              <w:pStyle w:val="8"/>
              <w:spacing w:before="71" w:line="230" w:lineRule="auto"/>
              <w:ind w:left="23" w:right="12"/>
              <w:rPr>
                <w:color w:val="auto"/>
                <w:lang w:eastAsia="zh-CN"/>
              </w:rPr>
            </w:pPr>
            <w:r>
              <w:rPr>
                <w:color w:val="auto"/>
                <w:spacing w:val="18"/>
                <w:lang w:eastAsia="zh-CN"/>
              </w:rPr>
              <w:t>年度每百名卫生技术人员发明专利总</w:t>
            </w:r>
            <w:r>
              <w:rPr>
                <w:color w:val="auto"/>
                <w:spacing w:val="4"/>
                <w:lang w:eastAsia="zh-CN"/>
              </w:rPr>
              <w:t>项数</w:t>
            </w:r>
          </w:p>
        </w:tc>
        <w:tc>
          <w:tcPr>
            <w:tcW w:w="3527" w:type="dxa"/>
          </w:tcPr>
          <w:p>
            <w:pPr>
              <w:pStyle w:val="8"/>
              <w:spacing w:before="45" w:line="242" w:lineRule="auto"/>
              <w:ind w:left="26" w:right="9"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本年度医院发明专利总项数</w:t>
            </w:r>
            <w:r>
              <w:rPr>
                <w:rFonts w:ascii="Times New Roman" w:hAnsi="Times New Roman" w:eastAsia="Times New Roman" w:cs="Times New Roman"/>
                <w:color w:val="auto"/>
                <w:spacing w:val="16"/>
                <w:lang w:eastAsia="zh-CN"/>
              </w:rPr>
              <w:t>/</w:t>
            </w:r>
            <w:r>
              <w:rPr>
                <w:color w:val="auto"/>
                <w:spacing w:val="16"/>
                <w:lang w:eastAsia="zh-CN"/>
              </w:rPr>
              <w:t>同期医院</w:t>
            </w:r>
            <w:r>
              <w:rPr>
                <w:color w:val="auto"/>
                <w:spacing w:val="5"/>
                <w:lang w:eastAsia="zh-CN"/>
              </w:rPr>
              <w:t>卫生技术人员总数</w:t>
            </w:r>
            <w:r>
              <w:rPr>
                <w:rFonts w:ascii="Times New Roman" w:hAnsi="Times New Roman" w:eastAsia="Times New Roman" w:cs="Times New Roman"/>
                <w:color w:val="auto"/>
                <w:spacing w:val="5"/>
                <w:lang w:eastAsia="zh-CN"/>
              </w:rPr>
              <w:t>×100</w:t>
            </w:r>
          </w:p>
        </w:tc>
        <w:tc>
          <w:tcPr>
            <w:tcW w:w="1167" w:type="dxa"/>
          </w:tcPr>
          <w:p>
            <w:pPr>
              <w:pStyle w:val="8"/>
              <w:spacing w:before="283" w:line="227" w:lineRule="auto"/>
              <w:ind w:left="184"/>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56" w:type="dxa"/>
            <w:vMerge w:val="continue"/>
            <w:tcBorders>
              <w:top w:val="nil"/>
            </w:tcBorders>
          </w:tcPr>
          <w:p>
            <w:pPr>
              <w:rPr>
                <w:color w:val="auto"/>
              </w:rPr>
            </w:pPr>
          </w:p>
        </w:tc>
        <w:tc>
          <w:tcPr>
            <w:tcW w:w="839" w:type="dxa"/>
            <w:vMerge w:val="continue"/>
            <w:tcBorders>
              <w:top w:val="nil"/>
            </w:tcBorders>
          </w:tcPr>
          <w:p>
            <w:pPr>
              <w:rPr>
                <w:color w:val="auto"/>
              </w:rPr>
            </w:pPr>
          </w:p>
        </w:tc>
        <w:tc>
          <w:tcPr>
            <w:tcW w:w="1749" w:type="dxa"/>
          </w:tcPr>
          <w:p>
            <w:pPr>
              <w:pStyle w:val="8"/>
              <w:spacing w:before="42" w:line="224" w:lineRule="auto"/>
              <w:ind w:left="20" w:right="134" w:hanging="5"/>
              <w:jc w:val="both"/>
              <w:rPr>
                <w:color w:val="auto"/>
                <w:lang w:eastAsia="zh-CN"/>
              </w:rPr>
            </w:pPr>
            <w:r>
              <w:rPr>
                <w:rFonts w:ascii="Times New Roman" w:hAnsi="Times New Roman" w:eastAsia="Times New Roman" w:cs="Times New Roman"/>
                <w:color w:val="auto"/>
                <w:spacing w:val="7"/>
                <w:lang w:eastAsia="zh-CN"/>
              </w:rPr>
              <w:t>2.</w:t>
            </w:r>
            <w:r>
              <w:rPr>
                <w:color w:val="auto"/>
                <w:spacing w:val="7"/>
                <w:lang w:eastAsia="zh-CN"/>
              </w:rPr>
              <w:t>每百名卫生技术</w:t>
            </w:r>
            <w:r>
              <w:rPr>
                <w:color w:val="auto"/>
                <w:spacing w:val="8"/>
                <w:lang w:eastAsia="zh-CN"/>
              </w:rPr>
              <w:t>人员实用新型专利</w:t>
            </w:r>
            <w:r>
              <w:rPr>
                <w:color w:val="auto"/>
                <w:spacing w:val="4"/>
                <w:lang w:eastAsia="zh-CN"/>
              </w:rPr>
              <w:t>数量</w:t>
            </w:r>
          </w:p>
        </w:tc>
        <w:tc>
          <w:tcPr>
            <w:tcW w:w="1307" w:type="dxa"/>
          </w:tcPr>
          <w:p>
            <w:pPr>
              <w:pStyle w:val="8"/>
              <w:spacing w:before="42" w:line="224" w:lineRule="auto"/>
              <w:ind w:left="18" w:firstLine="3"/>
              <w:jc w:val="both"/>
              <w:rPr>
                <w:color w:val="auto"/>
                <w:lang w:eastAsia="zh-CN"/>
              </w:rPr>
            </w:pPr>
            <w:r>
              <w:rPr>
                <w:color w:val="auto"/>
                <w:spacing w:val="14"/>
                <w:lang w:eastAsia="zh-CN"/>
              </w:rPr>
              <w:t>定量指标，连</w:t>
            </w:r>
            <w:r>
              <w:rPr>
                <w:color w:val="auto"/>
                <w:spacing w:val="-10"/>
                <w:lang w:eastAsia="zh-CN"/>
              </w:rPr>
              <w:t>续监测类指</w:t>
            </w:r>
            <w:r>
              <w:rPr>
                <w:color w:val="auto"/>
                <w:spacing w:val="-7"/>
                <w:lang w:eastAsia="zh-CN"/>
              </w:rPr>
              <w:t>标，必填指标。</w:t>
            </w:r>
          </w:p>
        </w:tc>
        <w:tc>
          <w:tcPr>
            <w:tcW w:w="1044" w:type="dxa"/>
          </w:tcPr>
          <w:p>
            <w:pPr>
              <w:pStyle w:val="8"/>
              <w:spacing w:before="282" w:line="227" w:lineRule="auto"/>
              <w:ind w:left="428"/>
              <w:rPr>
                <w:color w:val="auto"/>
              </w:rPr>
            </w:pPr>
            <w:r>
              <w:rPr>
                <w:color w:val="auto"/>
              </w:rPr>
              <w:t>项</w:t>
            </w:r>
          </w:p>
        </w:tc>
        <w:tc>
          <w:tcPr>
            <w:tcW w:w="3371" w:type="dxa"/>
          </w:tcPr>
          <w:p>
            <w:pPr>
              <w:pStyle w:val="8"/>
              <w:spacing w:before="69" w:line="230" w:lineRule="auto"/>
              <w:ind w:left="18" w:right="12" w:firstLine="4"/>
              <w:rPr>
                <w:color w:val="auto"/>
                <w:lang w:eastAsia="zh-CN"/>
              </w:rPr>
            </w:pPr>
            <w:r>
              <w:rPr>
                <w:color w:val="auto"/>
                <w:spacing w:val="18"/>
                <w:lang w:eastAsia="zh-CN"/>
              </w:rPr>
              <w:t>年度每百名卫生技术人员实用新型专</w:t>
            </w:r>
            <w:r>
              <w:rPr>
                <w:color w:val="auto"/>
                <w:spacing w:val="8"/>
                <w:lang w:eastAsia="zh-CN"/>
              </w:rPr>
              <w:t>利总项数</w:t>
            </w:r>
          </w:p>
        </w:tc>
        <w:tc>
          <w:tcPr>
            <w:tcW w:w="3527" w:type="dxa"/>
          </w:tcPr>
          <w:p>
            <w:pPr>
              <w:pStyle w:val="8"/>
              <w:spacing w:before="47" w:line="241" w:lineRule="auto"/>
              <w:ind w:left="44" w:right="9" w:hanging="2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6"/>
                <w:lang w:eastAsia="zh-CN"/>
              </w:rPr>
              <w:t>=</w:t>
            </w:r>
            <w:r>
              <w:rPr>
                <w:color w:val="auto"/>
                <w:spacing w:val="16"/>
                <w:lang w:eastAsia="zh-CN"/>
              </w:rPr>
              <w:t>本年度医院实用新型专利总项数</w:t>
            </w:r>
            <w:r>
              <w:rPr>
                <w:rFonts w:ascii="Times New Roman" w:hAnsi="Times New Roman" w:eastAsia="Times New Roman" w:cs="Times New Roman"/>
                <w:color w:val="auto"/>
                <w:spacing w:val="16"/>
                <w:lang w:eastAsia="zh-CN"/>
              </w:rPr>
              <w:t>/</w:t>
            </w:r>
            <w:r>
              <w:rPr>
                <w:color w:val="auto"/>
                <w:spacing w:val="16"/>
                <w:lang w:eastAsia="zh-CN"/>
              </w:rPr>
              <w:t>同期</w:t>
            </w:r>
            <w:r>
              <w:rPr>
                <w:color w:val="auto"/>
                <w:spacing w:val="4"/>
                <w:lang w:eastAsia="zh-CN"/>
              </w:rPr>
              <w:t>医院卫生技术人员总数</w:t>
            </w:r>
            <w:r>
              <w:rPr>
                <w:rFonts w:ascii="Times New Roman" w:hAnsi="Times New Roman" w:eastAsia="Times New Roman" w:cs="Times New Roman"/>
                <w:color w:val="auto"/>
                <w:spacing w:val="4"/>
                <w:lang w:eastAsia="zh-CN"/>
              </w:rPr>
              <w:t>×100</w:t>
            </w:r>
          </w:p>
        </w:tc>
        <w:tc>
          <w:tcPr>
            <w:tcW w:w="1167" w:type="dxa"/>
          </w:tcPr>
          <w:p>
            <w:pPr>
              <w:pStyle w:val="8"/>
              <w:spacing w:before="282" w:line="227" w:lineRule="auto"/>
              <w:ind w:left="184"/>
              <w:rPr>
                <w:color w:val="auto"/>
              </w:rPr>
            </w:pPr>
            <w:r>
              <w:rPr>
                <w:color w:val="auto"/>
                <w:spacing w:val="8"/>
              </w:rPr>
              <w:t>逐步提高</w:t>
            </w:r>
          </w:p>
        </w:tc>
      </w:tr>
    </w:tbl>
    <w:p>
      <w:pPr>
        <w:rPr>
          <w:color w:val="auto"/>
        </w:rPr>
      </w:pPr>
    </w:p>
    <w:p>
      <w:pPr>
        <w:rPr>
          <w:color w:val="auto"/>
        </w:rPr>
        <w:sectPr>
          <w:footerReference r:id="rId19" w:type="default"/>
          <w:pgSz w:w="16839" w:h="11906"/>
          <w:pgMar w:top="1012" w:right="1386" w:bottom="1494" w:left="1386" w:header="0" w:footer="1332" w:gutter="0"/>
          <w:pgNumType w:fmt="numberInDash"/>
          <w:cols w:space="720" w:num="1"/>
        </w:sectPr>
      </w:pPr>
    </w:p>
    <w:p>
      <w:pPr>
        <w:spacing w:line="304" w:lineRule="auto"/>
        <w:rPr>
          <w:color w:val="auto"/>
        </w:rPr>
      </w:pPr>
    </w:p>
    <w:p>
      <w:pPr>
        <w:spacing w:line="305" w:lineRule="auto"/>
        <w:rPr>
          <w:color w:val="auto"/>
        </w:rPr>
      </w:pPr>
    </w:p>
    <w:p>
      <w:pPr>
        <w:spacing w:before="140" w:line="602" w:lineRule="exact"/>
        <w:ind w:left="3175"/>
        <w:rPr>
          <w:rFonts w:ascii="宋体" w:hAnsi="宋体" w:eastAsia="宋体" w:cs="宋体"/>
          <w:color w:val="auto"/>
          <w:sz w:val="43"/>
          <w:szCs w:val="43"/>
          <w:lang w:eastAsia="zh-CN"/>
        </w:rPr>
      </w:pPr>
      <w:r>
        <w:rPr>
          <w:rFonts w:ascii="宋体" w:hAnsi="宋体" w:eastAsia="宋体" w:cs="宋体"/>
          <w:color w:val="auto"/>
          <w:spacing w:val="9"/>
          <w:position w:val="3"/>
          <w:sz w:val="43"/>
          <w:szCs w:val="43"/>
          <w:lang w:eastAsia="zh-CN"/>
        </w:rPr>
        <w:t>第二章医疗服务能力与医院质量安全指标</w:t>
      </w:r>
    </w:p>
    <w:p>
      <w:pPr>
        <w:spacing w:line="269" w:lineRule="auto"/>
        <w:rPr>
          <w:color w:val="auto"/>
          <w:lang w:eastAsia="zh-CN"/>
        </w:rPr>
      </w:pPr>
    </w:p>
    <w:p>
      <w:pPr>
        <w:spacing w:line="270" w:lineRule="auto"/>
        <w:rPr>
          <w:color w:val="auto"/>
          <w:lang w:eastAsia="zh-CN"/>
        </w:rPr>
      </w:pPr>
    </w:p>
    <w:p>
      <w:pPr>
        <w:pStyle w:val="2"/>
        <w:spacing w:before="101" w:line="222" w:lineRule="auto"/>
        <w:ind w:left="41"/>
        <w:rPr>
          <w:color w:val="auto"/>
          <w:lang w:eastAsia="zh-CN"/>
        </w:rPr>
      </w:pPr>
      <w:r>
        <w:rPr>
          <w:color w:val="auto"/>
          <w:spacing w:val="4"/>
          <w:lang w:eastAsia="zh-CN"/>
        </w:rPr>
        <w:t>数据来源：</w:t>
      </w:r>
    </w:p>
    <w:p>
      <w:pPr>
        <w:pStyle w:val="2"/>
        <w:spacing w:before="186" w:line="562" w:lineRule="exact"/>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1"/>
          <w:position w:val="18"/>
          <w:lang w:eastAsia="zh-CN"/>
        </w:rPr>
        <w:t>（</w:t>
      </w:r>
      <w:r>
        <w:rPr>
          <w:rFonts w:hint="eastAsia" w:ascii="华文仿宋" w:hAnsi="华文仿宋" w:eastAsia="华文仿宋" w:cs="华文仿宋"/>
          <w:b/>
          <w:bCs/>
          <w:color w:val="auto"/>
          <w:spacing w:val="11"/>
          <w:position w:val="18"/>
          <w:lang w:eastAsia="zh-CN"/>
        </w:rPr>
        <w:t>1</w:t>
      </w:r>
      <w:r>
        <w:rPr>
          <w:rFonts w:hint="eastAsia" w:ascii="华文仿宋" w:hAnsi="华文仿宋" w:eastAsia="华文仿宋" w:cs="华文仿宋"/>
          <w:color w:val="auto"/>
          <w:spacing w:val="11"/>
          <w:position w:val="18"/>
          <w:lang w:eastAsia="zh-CN"/>
        </w:rPr>
        <w:t>）国家医疗质量管理与控制信息网（</w:t>
      </w:r>
      <w:r>
        <w:rPr>
          <w:rFonts w:hint="eastAsia" w:ascii="华文仿宋" w:hAnsi="华文仿宋" w:eastAsia="华文仿宋" w:cs="华文仿宋"/>
          <w:b/>
          <w:bCs/>
          <w:color w:val="auto"/>
          <w:position w:val="18"/>
          <w:lang w:eastAsia="zh-CN"/>
        </w:rPr>
        <w:t>NCIS</w:t>
      </w:r>
      <w:r>
        <w:rPr>
          <w:rFonts w:hint="eastAsia" w:ascii="华文仿宋" w:hAnsi="华文仿宋" w:eastAsia="华文仿宋" w:cs="华文仿宋"/>
          <w:color w:val="auto"/>
          <w:spacing w:val="11"/>
          <w:position w:val="18"/>
          <w:lang w:eastAsia="zh-CN"/>
        </w:rPr>
        <w:t>）</w:t>
      </w:r>
    </w:p>
    <w:p>
      <w:pPr>
        <w:pStyle w:val="2"/>
        <w:spacing w:before="1" w:line="216" w:lineRule="auto"/>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2"/>
          <w:lang w:eastAsia="zh-CN"/>
        </w:rPr>
        <w:t>（</w:t>
      </w:r>
      <w:r>
        <w:rPr>
          <w:rFonts w:hint="eastAsia" w:ascii="华文仿宋" w:hAnsi="华文仿宋" w:eastAsia="华文仿宋" w:cs="华文仿宋"/>
          <w:b/>
          <w:bCs/>
          <w:color w:val="auto"/>
          <w:spacing w:val="12"/>
          <w:lang w:eastAsia="zh-CN"/>
        </w:rPr>
        <w:t>2</w:t>
      </w:r>
      <w:r>
        <w:rPr>
          <w:rFonts w:hint="eastAsia" w:ascii="华文仿宋" w:hAnsi="华文仿宋" w:eastAsia="华文仿宋" w:cs="华文仿宋"/>
          <w:color w:val="auto"/>
          <w:spacing w:val="12"/>
          <w:lang w:eastAsia="zh-CN"/>
        </w:rPr>
        <w:t>）全国医院质量监测系统（</w:t>
      </w:r>
      <w:r>
        <w:rPr>
          <w:rFonts w:hint="eastAsia" w:ascii="华文仿宋" w:hAnsi="华文仿宋" w:eastAsia="华文仿宋" w:cs="华文仿宋"/>
          <w:b/>
          <w:bCs/>
          <w:color w:val="auto"/>
          <w:lang w:eastAsia="zh-CN"/>
        </w:rPr>
        <w:t>HQMS</w:t>
      </w:r>
      <w:r>
        <w:rPr>
          <w:rFonts w:hint="eastAsia" w:ascii="华文仿宋" w:hAnsi="华文仿宋" w:eastAsia="华文仿宋" w:cs="华文仿宋"/>
          <w:color w:val="auto"/>
          <w:spacing w:val="12"/>
          <w:lang w:eastAsia="zh-CN"/>
        </w:rPr>
        <w:t>）</w:t>
      </w:r>
    </w:p>
    <w:p>
      <w:pPr>
        <w:pStyle w:val="2"/>
        <w:spacing w:before="195" w:line="221" w:lineRule="auto"/>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lang w:eastAsia="zh-CN"/>
        </w:rPr>
        <w:t>（</w:t>
      </w:r>
      <w:r>
        <w:rPr>
          <w:rFonts w:hint="eastAsia" w:ascii="华文仿宋" w:hAnsi="华文仿宋" w:eastAsia="华文仿宋" w:cs="华文仿宋"/>
          <w:b/>
          <w:bCs/>
          <w:color w:val="auto"/>
          <w:spacing w:val="10"/>
          <w:lang w:eastAsia="zh-CN"/>
        </w:rPr>
        <w:t>3</w:t>
      </w:r>
      <w:r>
        <w:rPr>
          <w:rFonts w:hint="eastAsia" w:ascii="华文仿宋" w:hAnsi="华文仿宋" w:eastAsia="华文仿宋" w:cs="华文仿宋"/>
          <w:color w:val="auto"/>
          <w:spacing w:val="10"/>
          <w:lang w:eastAsia="zh-CN"/>
        </w:rPr>
        <w:t>）国家公立医院绩效管理平台</w:t>
      </w:r>
    </w:p>
    <w:p>
      <w:pPr>
        <w:pStyle w:val="2"/>
        <w:spacing w:before="188" w:line="561" w:lineRule="exact"/>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position w:val="18"/>
          <w:lang w:eastAsia="zh-CN"/>
        </w:rPr>
        <w:t>（</w:t>
      </w:r>
      <w:r>
        <w:rPr>
          <w:rFonts w:hint="eastAsia" w:ascii="华文仿宋" w:hAnsi="华文仿宋" w:eastAsia="华文仿宋" w:cs="华文仿宋"/>
          <w:b/>
          <w:bCs/>
          <w:color w:val="auto"/>
          <w:spacing w:val="10"/>
          <w:position w:val="18"/>
          <w:lang w:eastAsia="zh-CN"/>
        </w:rPr>
        <w:t>4</w:t>
      </w:r>
      <w:r>
        <w:rPr>
          <w:rFonts w:hint="eastAsia" w:ascii="华文仿宋" w:hAnsi="华文仿宋" w:eastAsia="华文仿宋" w:cs="华文仿宋"/>
          <w:color w:val="auto"/>
          <w:spacing w:val="10"/>
          <w:position w:val="18"/>
          <w:lang w:eastAsia="zh-CN"/>
        </w:rPr>
        <w:t>）广东省卫生健康统计信息网络直报系统</w:t>
      </w:r>
    </w:p>
    <w:p>
      <w:pPr>
        <w:pStyle w:val="2"/>
        <w:spacing w:before="1" w:line="222" w:lineRule="auto"/>
        <w:ind w:left="665"/>
        <w:rPr>
          <w:rFonts w:hint="eastAsia" w:ascii="华文仿宋" w:hAnsi="华文仿宋" w:eastAsia="华文仿宋" w:cs="华文仿宋"/>
          <w:color w:val="auto"/>
        </w:rPr>
      </w:pPr>
      <w:r>
        <w:rPr>
          <w:rFonts w:hint="eastAsia" w:ascii="华文仿宋" w:hAnsi="华文仿宋" w:eastAsia="华文仿宋" w:cs="华文仿宋"/>
          <w:color w:val="auto"/>
        </w:rPr>
        <w:t>（</w:t>
      </w:r>
      <w:r>
        <w:rPr>
          <w:rFonts w:hint="eastAsia" w:ascii="华文仿宋" w:hAnsi="华文仿宋" w:eastAsia="华文仿宋" w:cs="华文仿宋"/>
          <w:b/>
          <w:bCs/>
          <w:color w:val="auto"/>
        </w:rPr>
        <w:t>5</w:t>
      </w:r>
      <w:r>
        <w:rPr>
          <w:rFonts w:hint="eastAsia" w:ascii="华文仿宋" w:hAnsi="华文仿宋" w:eastAsia="华文仿宋" w:cs="华文仿宋"/>
          <w:color w:val="auto"/>
        </w:rPr>
        <w:t>）医院填报</w:t>
      </w:r>
    </w:p>
    <w:p>
      <w:pPr>
        <w:spacing w:before="168"/>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434"/>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4" w:type="dxa"/>
          </w:tcPr>
          <w:p>
            <w:pPr>
              <w:spacing w:before="164" w:line="230" w:lineRule="auto"/>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tcPr>
          <w:p>
            <w:pPr>
              <w:spacing w:before="163" w:line="232" w:lineRule="auto"/>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163" w:line="231" w:lineRule="auto"/>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163" w:line="231" w:lineRule="auto"/>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163" w:line="232" w:lineRule="auto"/>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163" w:line="230" w:lineRule="auto"/>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163" w:line="231" w:lineRule="auto"/>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054" w:type="dxa"/>
            <w:vMerge w:val="restart"/>
            <w:tcBorders>
              <w:bottom w:val="nil"/>
            </w:tcBorders>
          </w:tcPr>
          <w:p>
            <w:pPr>
              <w:spacing w:line="285" w:lineRule="auto"/>
              <w:rPr>
                <w:color w:val="auto"/>
              </w:rPr>
            </w:pPr>
          </w:p>
          <w:p>
            <w:pPr>
              <w:spacing w:line="285" w:lineRule="auto"/>
              <w:rPr>
                <w:color w:val="auto"/>
              </w:rPr>
            </w:pPr>
          </w:p>
          <w:p>
            <w:pPr>
              <w:spacing w:line="286" w:lineRule="auto"/>
              <w:rPr>
                <w:color w:val="auto"/>
              </w:rPr>
            </w:pPr>
          </w:p>
          <w:p>
            <w:pPr>
              <w:spacing w:line="286" w:lineRule="auto"/>
              <w:rPr>
                <w:color w:val="auto"/>
              </w:rPr>
            </w:pPr>
          </w:p>
          <w:p>
            <w:pPr>
              <w:pStyle w:val="8"/>
              <w:spacing w:before="62" w:line="229" w:lineRule="auto"/>
              <w:ind w:left="26" w:right="14" w:firstLine="8"/>
              <w:rPr>
                <w:color w:val="auto"/>
              </w:rPr>
            </w:pPr>
            <w:r>
              <w:rPr>
                <w:color w:val="auto"/>
              </w:rPr>
              <w:t>一、医疗服</w:t>
            </w:r>
            <w:r>
              <w:rPr>
                <w:color w:val="auto"/>
                <w:spacing w:val="6"/>
              </w:rPr>
              <w:t>务能力</w:t>
            </w:r>
          </w:p>
        </w:tc>
        <w:tc>
          <w:tcPr>
            <w:tcW w:w="2434" w:type="dxa"/>
          </w:tcPr>
          <w:p>
            <w:pPr>
              <w:pStyle w:val="8"/>
              <w:spacing w:before="180" w:line="238" w:lineRule="auto"/>
              <w:ind w:left="14" w:right="14"/>
              <w:rPr>
                <w:color w:val="auto"/>
                <w:lang w:eastAsia="zh-CN"/>
              </w:rPr>
            </w:pPr>
            <w:r>
              <w:rPr>
                <w:color w:val="auto"/>
                <w:spacing w:val="-7"/>
                <w:lang w:eastAsia="zh-CN"/>
              </w:rPr>
              <w:t>（一）收治病种数量</w:t>
            </w:r>
            <w:r>
              <w:rPr>
                <w:color w:val="auto"/>
                <w:spacing w:val="4"/>
                <w:lang w:eastAsia="zh-CN"/>
              </w:rPr>
              <w:t>（</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4"/>
                <w:lang w:eastAsia="zh-CN"/>
              </w:rPr>
              <w:t>-10</w:t>
            </w:r>
            <w:r>
              <w:rPr>
                <w:color w:val="auto"/>
                <w:spacing w:val="4"/>
                <w:lang w:eastAsia="zh-CN"/>
              </w:rPr>
              <w:t>四位亚目数量）</w:t>
            </w:r>
          </w:p>
        </w:tc>
        <w:tc>
          <w:tcPr>
            <w:tcW w:w="1751" w:type="dxa"/>
          </w:tcPr>
          <w:p>
            <w:pPr>
              <w:pStyle w:val="8"/>
              <w:spacing w:before="178" w:line="239" w:lineRule="auto"/>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4" w:lineRule="auto"/>
              <w:rPr>
                <w:color w:val="auto"/>
                <w:lang w:eastAsia="zh-CN"/>
              </w:rPr>
            </w:pPr>
          </w:p>
          <w:p>
            <w:pPr>
              <w:pStyle w:val="8"/>
              <w:spacing w:before="62" w:line="227" w:lineRule="auto"/>
              <w:ind w:left="406"/>
              <w:rPr>
                <w:color w:val="auto"/>
              </w:rPr>
            </w:pPr>
            <w:r>
              <w:rPr>
                <w:color w:val="auto"/>
              </w:rPr>
              <w:t>个</w:t>
            </w:r>
          </w:p>
        </w:tc>
        <w:tc>
          <w:tcPr>
            <w:tcW w:w="3704" w:type="dxa"/>
          </w:tcPr>
          <w:p>
            <w:pPr>
              <w:pStyle w:val="8"/>
              <w:spacing w:before="71" w:line="241" w:lineRule="auto"/>
              <w:ind w:left="24" w:right="12" w:firstLine="18"/>
              <w:rPr>
                <w:color w:val="auto"/>
                <w:lang w:eastAsia="zh-CN"/>
              </w:rPr>
            </w:pPr>
            <w:r>
              <w:rPr>
                <w:color w:val="auto"/>
                <w:spacing w:val="5"/>
                <w:lang w:eastAsia="zh-CN"/>
              </w:rPr>
              <w:t>医院收治病种（</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5"/>
                <w:lang w:eastAsia="zh-CN"/>
              </w:rPr>
              <w:t>-10</w:t>
            </w:r>
            <w:r>
              <w:rPr>
                <w:color w:val="auto"/>
                <w:spacing w:val="5"/>
                <w:lang w:eastAsia="zh-CN"/>
              </w:rPr>
              <w:t>四位亚目数量）数</w:t>
            </w:r>
            <w:r>
              <w:rPr>
                <w:color w:val="auto"/>
                <w:spacing w:val="-2"/>
                <w:lang w:eastAsia="zh-CN"/>
              </w:rPr>
              <w:t>量。</w:t>
            </w:r>
          </w:p>
        </w:tc>
        <w:tc>
          <w:tcPr>
            <w:tcW w:w="2977" w:type="dxa"/>
          </w:tcPr>
          <w:p>
            <w:pPr>
              <w:pStyle w:val="8"/>
              <w:spacing w:before="71" w:line="232" w:lineRule="auto"/>
              <w:ind w:left="29" w:right="11" w:hanging="10"/>
              <w:jc w:val="both"/>
              <w:rPr>
                <w:color w:val="auto"/>
                <w:lang w:eastAsia="zh-CN"/>
              </w:rPr>
            </w:pPr>
            <w:r>
              <w:rPr>
                <w:color w:val="auto"/>
                <w:spacing w:val="7"/>
                <w:lang w:eastAsia="zh-CN"/>
              </w:rPr>
              <w:t>根据</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7"/>
                <w:lang w:eastAsia="zh-CN"/>
              </w:rPr>
              <w:t>-10</w:t>
            </w:r>
            <w:r>
              <w:rPr>
                <w:color w:val="auto"/>
                <w:spacing w:val="7"/>
                <w:lang w:eastAsia="zh-CN"/>
              </w:rPr>
              <w:t>四位亚目，从病案首</w:t>
            </w:r>
            <w:r>
              <w:rPr>
                <w:color w:val="auto"/>
                <w:spacing w:val="19"/>
                <w:lang w:eastAsia="zh-CN"/>
              </w:rPr>
              <w:t>页中统计主要诊断数量以及不同</w:t>
            </w:r>
            <w:r>
              <w:rPr>
                <w:color w:val="auto"/>
                <w:spacing w:val="7"/>
                <w:lang w:eastAsia="zh-CN"/>
              </w:rPr>
              <w:t>主要诊断对应收治病例数量。</w:t>
            </w:r>
          </w:p>
        </w:tc>
        <w:tc>
          <w:tcPr>
            <w:tcW w:w="1142" w:type="dxa"/>
          </w:tcPr>
          <w:p>
            <w:pPr>
              <w:spacing w:line="245" w:lineRule="auto"/>
              <w:rPr>
                <w:color w:val="auto"/>
                <w:lang w:eastAsia="zh-CN"/>
              </w:rPr>
            </w:pPr>
          </w:p>
          <w:p>
            <w:pPr>
              <w:pStyle w:val="8"/>
              <w:spacing w:before="62" w:line="225" w:lineRule="auto"/>
              <w:ind w:left="1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054" w:type="dxa"/>
            <w:vMerge w:val="continue"/>
            <w:tcBorders>
              <w:top w:val="nil"/>
              <w:bottom w:val="nil"/>
            </w:tcBorders>
          </w:tcPr>
          <w:p>
            <w:pPr>
              <w:rPr>
                <w:color w:val="auto"/>
              </w:rPr>
            </w:pPr>
          </w:p>
        </w:tc>
        <w:tc>
          <w:tcPr>
            <w:tcW w:w="2434" w:type="dxa"/>
          </w:tcPr>
          <w:p>
            <w:pPr>
              <w:pStyle w:val="8"/>
              <w:spacing w:before="51" w:line="239" w:lineRule="auto"/>
              <w:ind w:left="14" w:right="9"/>
              <w:jc w:val="both"/>
              <w:rPr>
                <w:color w:val="auto"/>
                <w:lang w:eastAsia="zh-CN"/>
              </w:rPr>
            </w:pPr>
            <w:r>
              <w:rPr>
                <w:color w:val="auto"/>
                <w:spacing w:val="-7"/>
                <w:lang w:eastAsia="zh-CN"/>
              </w:rPr>
              <w:t>（二）住院术种数量</w:t>
            </w:r>
            <w:r>
              <w:rPr>
                <w:color w:val="auto"/>
                <w:spacing w:val="14"/>
                <w:lang w:eastAsia="zh-CN"/>
              </w:rPr>
              <w:t>（</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4"/>
                <w:lang w:eastAsia="zh-CN"/>
              </w:rPr>
              <w:t>-9-</w:t>
            </w:r>
            <w:r>
              <w:rPr>
                <w:rFonts w:ascii="Times New Roman" w:hAnsi="Times New Roman" w:eastAsia="Times New Roman" w:cs="Times New Roman"/>
                <w:color w:val="auto"/>
                <w:lang w:eastAsia="zh-CN"/>
              </w:rPr>
              <w:t>CM</w:t>
            </w:r>
            <w:r>
              <w:rPr>
                <w:rFonts w:ascii="Times New Roman" w:hAnsi="Times New Roman" w:eastAsia="Times New Roman" w:cs="Times New Roman"/>
                <w:color w:val="auto"/>
                <w:spacing w:val="14"/>
                <w:lang w:eastAsia="zh-CN"/>
              </w:rPr>
              <w:t>-3</w:t>
            </w:r>
            <w:r>
              <w:rPr>
                <w:color w:val="auto"/>
                <w:spacing w:val="14"/>
                <w:lang w:eastAsia="zh-CN"/>
              </w:rPr>
              <w:t>四位亚目数</w:t>
            </w:r>
            <w:r>
              <w:rPr>
                <w:color w:val="auto"/>
                <w:spacing w:val="4"/>
                <w:lang w:eastAsia="zh-CN"/>
              </w:rPr>
              <w:t>量）</w:t>
            </w:r>
          </w:p>
        </w:tc>
        <w:tc>
          <w:tcPr>
            <w:tcW w:w="1751" w:type="dxa"/>
          </w:tcPr>
          <w:p>
            <w:pPr>
              <w:pStyle w:val="8"/>
              <w:spacing w:before="180"/>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spacing w:line="245" w:lineRule="auto"/>
              <w:rPr>
                <w:color w:val="auto"/>
                <w:lang w:eastAsia="zh-CN"/>
              </w:rPr>
            </w:pPr>
          </w:p>
          <w:p>
            <w:pPr>
              <w:pStyle w:val="8"/>
              <w:spacing w:before="62" w:line="227" w:lineRule="auto"/>
              <w:ind w:left="406"/>
              <w:rPr>
                <w:color w:val="auto"/>
              </w:rPr>
            </w:pPr>
            <w:r>
              <w:rPr>
                <w:color w:val="auto"/>
              </w:rPr>
              <w:t>个</w:t>
            </w:r>
          </w:p>
        </w:tc>
        <w:tc>
          <w:tcPr>
            <w:tcW w:w="3704" w:type="dxa"/>
          </w:tcPr>
          <w:p>
            <w:pPr>
              <w:pStyle w:val="8"/>
              <w:spacing w:before="72" w:line="224" w:lineRule="auto"/>
              <w:ind w:left="43"/>
              <w:rPr>
                <w:color w:val="auto"/>
                <w:lang w:eastAsia="zh-CN"/>
              </w:rPr>
            </w:pPr>
            <w:r>
              <w:rPr>
                <w:color w:val="auto"/>
                <w:spacing w:val="7"/>
                <w:lang w:eastAsia="zh-CN"/>
              </w:rPr>
              <w:t>医院住院术种病种（</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7"/>
                <w:lang w:eastAsia="zh-CN"/>
              </w:rPr>
              <w:t>-9-</w:t>
            </w:r>
            <w:r>
              <w:rPr>
                <w:rFonts w:ascii="Times New Roman" w:hAnsi="Times New Roman" w:eastAsia="Times New Roman" w:cs="Times New Roman"/>
                <w:color w:val="auto"/>
                <w:lang w:eastAsia="zh-CN"/>
              </w:rPr>
              <w:t>CM</w:t>
            </w:r>
            <w:r>
              <w:rPr>
                <w:rFonts w:ascii="Times New Roman" w:hAnsi="Times New Roman" w:eastAsia="Times New Roman" w:cs="Times New Roman"/>
                <w:color w:val="auto"/>
                <w:spacing w:val="7"/>
                <w:lang w:eastAsia="zh-CN"/>
              </w:rPr>
              <w:t>-3</w:t>
            </w:r>
            <w:r>
              <w:rPr>
                <w:color w:val="auto"/>
                <w:spacing w:val="7"/>
                <w:lang w:eastAsia="zh-CN"/>
              </w:rPr>
              <w:t>）数量。</w:t>
            </w:r>
          </w:p>
        </w:tc>
        <w:tc>
          <w:tcPr>
            <w:tcW w:w="2977" w:type="dxa"/>
          </w:tcPr>
          <w:p>
            <w:pPr>
              <w:pStyle w:val="8"/>
              <w:spacing w:before="72" w:line="232" w:lineRule="auto"/>
              <w:ind w:left="25" w:right="6" w:hanging="6"/>
              <w:jc w:val="both"/>
              <w:rPr>
                <w:color w:val="auto"/>
                <w:lang w:eastAsia="zh-CN"/>
              </w:rPr>
            </w:pPr>
            <w:r>
              <w:rPr>
                <w:color w:val="auto"/>
                <w:spacing w:val="12"/>
                <w:lang w:eastAsia="zh-CN"/>
              </w:rPr>
              <w:t>根据</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2"/>
                <w:lang w:eastAsia="zh-CN"/>
              </w:rPr>
              <w:t>-9-</w:t>
            </w:r>
            <w:r>
              <w:rPr>
                <w:rFonts w:ascii="Times New Roman" w:hAnsi="Times New Roman" w:eastAsia="Times New Roman" w:cs="Times New Roman"/>
                <w:color w:val="auto"/>
                <w:lang w:eastAsia="zh-CN"/>
              </w:rPr>
              <w:t>CM</w:t>
            </w:r>
            <w:r>
              <w:rPr>
                <w:rFonts w:ascii="Times New Roman" w:hAnsi="Times New Roman" w:eastAsia="Times New Roman" w:cs="Times New Roman"/>
                <w:color w:val="auto"/>
                <w:spacing w:val="12"/>
                <w:lang w:eastAsia="zh-CN"/>
              </w:rPr>
              <w:t>-3</w:t>
            </w:r>
            <w:r>
              <w:rPr>
                <w:color w:val="auto"/>
                <w:spacing w:val="12"/>
                <w:lang w:eastAsia="zh-CN"/>
              </w:rPr>
              <w:t>，从病案首页中</w:t>
            </w:r>
            <w:r>
              <w:rPr>
                <w:color w:val="auto"/>
                <w:spacing w:val="19"/>
                <w:lang w:eastAsia="zh-CN"/>
              </w:rPr>
              <w:t>统计主要手术以及不同主要手术</w:t>
            </w:r>
            <w:r>
              <w:rPr>
                <w:color w:val="auto"/>
                <w:spacing w:val="7"/>
                <w:lang w:eastAsia="zh-CN"/>
              </w:rPr>
              <w:t>对应收治病例数量。</w:t>
            </w:r>
          </w:p>
        </w:tc>
        <w:tc>
          <w:tcPr>
            <w:tcW w:w="1142" w:type="dxa"/>
          </w:tcPr>
          <w:p>
            <w:pPr>
              <w:spacing w:line="246" w:lineRule="auto"/>
              <w:rPr>
                <w:color w:val="auto"/>
                <w:lang w:eastAsia="zh-CN"/>
              </w:rPr>
            </w:pPr>
          </w:p>
          <w:p>
            <w:pPr>
              <w:pStyle w:val="8"/>
              <w:spacing w:before="62" w:line="225" w:lineRule="auto"/>
              <w:ind w:left="1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54" w:type="dxa"/>
            <w:vMerge w:val="continue"/>
            <w:tcBorders>
              <w:top w:val="nil"/>
              <w:bottom w:val="nil"/>
            </w:tcBorders>
          </w:tcPr>
          <w:p>
            <w:pPr>
              <w:rPr>
                <w:color w:val="auto"/>
              </w:rPr>
            </w:pPr>
          </w:p>
        </w:tc>
        <w:tc>
          <w:tcPr>
            <w:tcW w:w="2434" w:type="dxa"/>
          </w:tcPr>
          <w:p>
            <w:pPr>
              <w:pStyle w:val="8"/>
              <w:spacing w:before="203" w:line="226" w:lineRule="auto"/>
              <w:ind w:left="14"/>
              <w:rPr>
                <w:color w:val="auto"/>
              </w:rPr>
            </w:pPr>
            <w:r>
              <w:rPr>
                <w:color w:val="auto"/>
                <w:spacing w:val="3"/>
              </w:rPr>
              <w:t>（三）出院人次数</w:t>
            </w:r>
          </w:p>
        </w:tc>
        <w:tc>
          <w:tcPr>
            <w:tcW w:w="1751" w:type="dxa"/>
          </w:tcPr>
          <w:p>
            <w:pPr>
              <w:pStyle w:val="8"/>
              <w:spacing w:before="74" w:line="239" w:lineRule="auto"/>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pStyle w:val="8"/>
              <w:spacing w:before="203" w:line="227" w:lineRule="auto"/>
              <w:ind w:left="305"/>
              <w:rPr>
                <w:color w:val="auto"/>
              </w:rPr>
            </w:pPr>
            <w:r>
              <w:rPr>
                <w:color w:val="auto"/>
                <w:spacing w:val="4"/>
              </w:rPr>
              <w:t>人次</w:t>
            </w:r>
          </w:p>
        </w:tc>
        <w:tc>
          <w:tcPr>
            <w:tcW w:w="3704" w:type="dxa"/>
          </w:tcPr>
          <w:p>
            <w:pPr>
              <w:pStyle w:val="8"/>
              <w:spacing w:before="74" w:line="226" w:lineRule="auto"/>
              <w:ind w:left="45"/>
              <w:rPr>
                <w:color w:val="auto"/>
              </w:rPr>
            </w:pPr>
            <w:r>
              <w:rPr>
                <w:color w:val="auto"/>
                <w:spacing w:val="4"/>
              </w:rPr>
              <w:t>出院患者人次数。</w:t>
            </w:r>
          </w:p>
        </w:tc>
        <w:tc>
          <w:tcPr>
            <w:tcW w:w="2977" w:type="dxa"/>
          </w:tcPr>
          <w:p>
            <w:pPr>
              <w:pStyle w:val="8"/>
              <w:spacing w:before="225" w:line="226" w:lineRule="auto"/>
              <w:ind w:left="23"/>
              <w:rPr>
                <w:color w:val="auto"/>
                <w:lang w:eastAsia="zh-CN"/>
              </w:rPr>
            </w:pPr>
            <w:r>
              <w:rPr>
                <w:color w:val="auto"/>
                <w:spacing w:val="7"/>
                <w:lang w:eastAsia="zh-CN"/>
              </w:rPr>
              <w:t>年度出院患者人次数。</w:t>
            </w:r>
          </w:p>
        </w:tc>
        <w:tc>
          <w:tcPr>
            <w:tcW w:w="1142" w:type="dxa"/>
          </w:tcPr>
          <w:p>
            <w:pPr>
              <w:pStyle w:val="8"/>
              <w:spacing w:before="204" w:line="225" w:lineRule="auto"/>
              <w:ind w:left="1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54" w:type="dxa"/>
            <w:vMerge w:val="continue"/>
            <w:tcBorders>
              <w:top w:val="nil"/>
            </w:tcBorders>
          </w:tcPr>
          <w:p>
            <w:pPr>
              <w:rPr>
                <w:color w:val="auto"/>
              </w:rPr>
            </w:pPr>
          </w:p>
        </w:tc>
        <w:tc>
          <w:tcPr>
            <w:tcW w:w="2434" w:type="dxa"/>
          </w:tcPr>
          <w:p>
            <w:pPr>
              <w:pStyle w:val="8"/>
              <w:spacing w:before="205" w:line="226" w:lineRule="auto"/>
              <w:ind w:left="14"/>
              <w:rPr>
                <w:color w:val="auto"/>
                <w:lang w:eastAsia="zh-CN"/>
              </w:rPr>
            </w:pPr>
            <w:r>
              <w:rPr>
                <w:color w:val="auto"/>
                <w:spacing w:val="5"/>
                <w:lang w:eastAsia="zh-CN"/>
              </w:rPr>
              <w:t>（四）出院患者手术比例</w:t>
            </w:r>
          </w:p>
        </w:tc>
        <w:tc>
          <w:tcPr>
            <w:tcW w:w="1751" w:type="dxa"/>
          </w:tcPr>
          <w:p>
            <w:pPr>
              <w:pStyle w:val="8"/>
              <w:spacing w:before="67" w:line="248" w:lineRule="auto"/>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pStyle w:val="8"/>
              <w:spacing w:before="175" w:line="261"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81" w:line="243" w:lineRule="auto"/>
              <w:ind w:left="45" w:right="12" w:hanging="23"/>
              <w:rPr>
                <w:color w:val="auto"/>
                <w:lang w:eastAsia="zh-CN"/>
              </w:rPr>
            </w:pPr>
            <w:r>
              <w:rPr>
                <w:color w:val="auto"/>
                <w:spacing w:val="13"/>
                <w:lang w:eastAsia="zh-CN"/>
              </w:rPr>
              <w:t>年度出院患者实施手术治疗台次数占同期</w:t>
            </w:r>
            <w:r>
              <w:rPr>
                <w:color w:val="auto"/>
                <w:spacing w:val="6"/>
                <w:lang w:eastAsia="zh-CN"/>
              </w:rPr>
              <w:t>出院患者总人次数的比例。</w:t>
            </w:r>
          </w:p>
        </w:tc>
        <w:tc>
          <w:tcPr>
            <w:tcW w:w="2977" w:type="dxa"/>
          </w:tcPr>
          <w:p>
            <w:pPr>
              <w:pStyle w:val="8"/>
              <w:spacing w:before="59" w:line="254" w:lineRule="auto"/>
              <w:ind w:left="32" w:right="11"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出院患者手术台次数</w:t>
            </w:r>
            <w:r>
              <w:rPr>
                <w:rFonts w:ascii="Times New Roman" w:hAnsi="Times New Roman" w:eastAsia="Times New Roman" w:cs="Times New Roman"/>
                <w:color w:val="auto"/>
                <w:spacing w:val="20"/>
                <w:lang w:eastAsia="zh-CN"/>
              </w:rPr>
              <w:t>/</w:t>
            </w:r>
            <w:r>
              <w:rPr>
                <w:color w:val="auto"/>
                <w:spacing w:val="20"/>
                <w:lang w:eastAsia="zh-CN"/>
              </w:rPr>
              <w:t>同期出院</w:t>
            </w:r>
            <w:r>
              <w:rPr>
                <w:color w:val="auto"/>
                <w:spacing w:val="4"/>
                <w:lang w:eastAsia="zh-CN"/>
              </w:rPr>
              <w:t>患者总人次数</w:t>
            </w:r>
            <w:r>
              <w:rPr>
                <w:rFonts w:ascii="Times New Roman" w:hAnsi="Times New Roman" w:eastAsia="Times New Roman" w:cs="Times New Roman"/>
                <w:color w:val="auto"/>
                <w:spacing w:val="4"/>
                <w:lang w:eastAsia="zh-CN"/>
              </w:rPr>
              <w:t>×100%</w:t>
            </w:r>
          </w:p>
        </w:tc>
        <w:tc>
          <w:tcPr>
            <w:tcW w:w="1142" w:type="dxa"/>
          </w:tcPr>
          <w:p>
            <w:pPr>
              <w:pStyle w:val="8"/>
              <w:spacing w:before="206" w:line="227" w:lineRule="auto"/>
              <w:ind w:left="172"/>
              <w:rPr>
                <w:color w:val="auto"/>
              </w:rPr>
            </w:pPr>
            <w:r>
              <w:rPr>
                <w:color w:val="auto"/>
                <w:spacing w:val="8"/>
              </w:rPr>
              <w:t>逐步提高</w:t>
            </w:r>
          </w:p>
        </w:tc>
      </w:tr>
    </w:tbl>
    <w:p>
      <w:pPr>
        <w:rPr>
          <w:color w:val="auto"/>
        </w:rPr>
        <w:sectPr>
          <w:footerReference r:id="rId20" w:type="default"/>
          <w:pgSz w:w="16839" w:h="11906"/>
          <w:pgMar w:top="1012" w:right="126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833"/>
        <w:gridCol w:w="1601"/>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4" w:type="dxa"/>
          </w:tcPr>
          <w:p>
            <w:pPr>
              <w:spacing w:before="164" w:line="230" w:lineRule="auto"/>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gridSpan w:val="2"/>
          </w:tcPr>
          <w:p>
            <w:pPr>
              <w:spacing w:before="163" w:line="232" w:lineRule="auto"/>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163" w:line="231" w:lineRule="auto"/>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163" w:line="231" w:lineRule="auto"/>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163" w:line="232" w:lineRule="auto"/>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163" w:line="230" w:lineRule="auto"/>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163" w:line="231" w:lineRule="auto"/>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1054" w:type="dxa"/>
            <w:vMerge w:val="restart"/>
            <w:tcBorders>
              <w:bottom w:val="nil"/>
            </w:tcBorders>
          </w:tcPr>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27" w:right="14" w:firstLine="6"/>
              <w:rPr>
                <w:color w:val="auto"/>
              </w:rPr>
            </w:pPr>
            <w:r>
              <w:rPr>
                <w:color w:val="auto"/>
              </w:rPr>
              <w:t>二、医院质</w:t>
            </w:r>
            <w:r>
              <w:rPr>
                <w:color w:val="auto"/>
                <w:spacing w:val="5"/>
              </w:rPr>
              <w:t>量指标</w:t>
            </w:r>
          </w:p>
        </w:tc>
        <w:tc>
          <w:tcPr>
            <w:tcW w:w="833"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6" w:right="16" w:hanging="2"/>
              <w:jc w:val="both"/>
              <w:rPr>
                <w:color w:val="auto"/>
                <w:lang w:eastAsia="zh-CN"/>
              </w:rPr>
            </w:pPr>
            <w:r>
              <w:rPr>
                <w:color w:val="auto"/>
                <w:spacing w:val="-4"/>
                <w:lang w:eastAsia="zh-CN"/>
              </w:rPr>
              <w:t>（一）年</w:t>
            </w:r>
            <w:r>
              <w:rPr>
                <w:color w:val="auto"/>
                <w:spacing w:val="8"/>
                <w:lang w:eastAsia="zh-CN"/>
              </w:rPr>
              <w:t>度国家医疗质量安全目标改</w:t>
            </w:r>
            <w:r>
              <w:rPr>
                <w:color w:val="auto"/>
                <w:spacing w:val="7"/>
                <w:lang w:eastAsia="zh-CN"/>
              </w:rPr>
              <w:t>进情况</w:t>
            </w:r>
          </w:p>
        </w:tc>
        <w:tc>
          <w:tcPr>
            <w:tcW w:w="160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3" w:right="36" w:firstLine="9"/>
              <w:rPr>
                <w:color w:val="auto"/>
                <w:lang w:eastAsia="zh-CN"/>
              </w:rPr>
            </w:pPr>
            <w:r>
              <w:rPr>
                <w:rFonts w:ascii="Times New Roman" w:hAnsi="Times New Roman" w:eastAsia="Times New Roman" w:cs="Times New Roman"/>
                <w:color w:val="auto"/>
                <w:spacing w:val="6"/>
                <w:lang w:eastAsia="zh-CN"/>
              </w:rPr>
              <w:t>1.</w:t>
            </w:r>
            <w:r>
              <w:rPr>
                <w:color w:val="auto"/>
                <w:spacing w:val="6"/>
                <w:lang w:eastAsia="zh-CN"/>
              </w:rPr>
              <w:t>静脉血栓栓塞症规范预防率</w:t>
            </w:r>
          </w:p>
        </w:tc>
        <w:tc>
          <w:tcPr>
            <w:tcW w:w="175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right="10" w:firstLine="3"/>
              <w:jc w:val="both"/>
              <w:rPr>
                <w:color w:val="auto"/>
                <w:lang w:eastAsia="zh-CN"/>
              </w:rPr>
            </w:pPr>
            <w:r>
              <w:rPr>
                <w:color w:val="auto"/>
                <w:spacing w:val="16"/>
                <w:lang w:eastAsia="zh-CN"/>
              </w:rPr>
              <w:t>接受静脉血栓栓塞症（</w:t>
            </w:r>
            <w:r>
              <w:rPr>
                <w:rFonts w:ascii="Times New Roman" w:hAnsi="Times New Roman" w:eastAsia="Times New Roman" w:cs="Times New Roman"/>
                <w:color w:val="auto"/>
                <w:lang w:eastAsia="zh-CN"/>
              </w:rPr>
              <w:t>VTE</w:t>
            </w:r>
            <w:r>
              <w:rPr>
                <w:color w:val="auto"/>
                <w:spacing w:val="16"/>
                <w:lang w:eastAsia="zh-CN"/>
              </w:rPr>
              <w:t>）风险评估的</w:t>
            </w:r>
            <w:r>
              <w:rPr>
                <w:color w:val="auto"/>
                <w:spacing w:val="25"/>
                <w:lang w:eastAsia="zh-CN"/>
              </w:rPr>
              <w:t>出院患者人次与同期出院患者人次的比</w:t>
            </w:r>
            <w:r>
              <w:rPr>
                <w:color w:val="auto"/>
                <w:spacing w:val="8"/>
                <w:lang w:eastAsia="zh-CN"/>
              </w:rPr>
              <w:t>例；实施</w:t>
            </w:r>
            <w:r>
              <w:rPr>
                <w:rFonts w:ascii="Times New Roman" w:hAnsi="Times New Roman" w:eastAsia="Times New Roman" w:cs="Times New Roman"/>
                <w:color w:val="auto"/>
                <w:lang w:eastAsia="zh-CN"/>
              </w:rPr>
              <w:t>VTE</w:t>
            </w:r>
            <w:r>
              <w:rPr>
                <w:color w:val="auto"/>
                <w:spacing w:val="8"/>
                <w:lang w:eastAsia="zh-CN"/>
              </w:rPr>
              <w:t>规范预防措施的出院患者总</w:t>
            </w:r>
            <w:r>
              <w:rPr>
                <w:color w:val="auto"/>
                <w:spacing w:val="16"/>
                <w:lang w:eastAsia="zh-CN"/>
              </w:rPr>
              <w:t>例数与同期</w:t>
            </w:r>
            <w:r>
              <w:rPr>
                <w:rFonts w:ascii="Times New Roman" w:hAnsi="Times New Roman" w:eastAsia="Times New Roman" w:cs="Times New Roman"/>
                <w:color w:val="auto"/>
                <w:lang w:eastAsia="zh-CN"/>
              </w:rPr>
              <w:t>VTE</w:t>
            </w:r>
            <w:r>
              <w:rPr>
                <w:color w:val="auto"/>
                <w:spacing w:val="16"/>
                <w:lang w:eastAsia="zh-CN"/>
              </w:rPr>
              <w:t>风险评估为高危和</w:t>
            </w:r>
            <w:r>
              <w:rPr>
                <w:rFonts w:ascii="Times New Roman" w:hAnsi="Times New Roman" w:eastAsia="Times New Roman" w:cs="Times New Roman"/>
                <w:color w:val="auto"/>
                <w:spacing w:val="16"/>
                <w:lang w:eastAsia="zh-CN"/>
              </w:rPr>
              <w:t>/</w:t>
            </w:r>
            <w:r>
              <w:rPr>
                <w:color w:val="auto"/>
                <w:spacing w:val="16"/>
                <w:lang w:eastAsia="zh-CN"/>
              </w:rPr>
              <w:t>或中</w:t>
            </w:r>
            <w:r>
              <w:rPr>
                <w:color w:val="auto"/>
                <w:spacing w:val="8"/>
                <w:lang w:eastAsia="zh-CN"/>
              </w:rPr>
              <w:t>危出院患者人次的比例。</w:t>
            </w:r>
          </w:p>
          <w:p>
            <w:pPr>
              <w:pStyle w:val="8"/>
              <w:spacing w:before="0" w:line="240" w:lineRule="exact"/>
              <w:ind w:left="19" w:right="10"/>
              <w:rPr>
                <w:color w:val="auto"/>
                <w:lang w:eastAsia="zh-CN"/>
              </w:rPr>
            </w:pPr>
            <w:r>
              <w:rPr>
                <w:color w:val="auto"/>
                <w:spacing w:val="11"/>
                <w:lang w:eastAsia="zh-CN"/>
              </w:rPr>
              <w:t>说明：</w:t>
            </w:r>
            <w:r>
              <w:rPr>
                <w:rFonts w:ascii="Times New Roman" w:hAnsi="Times New Roman" w:eastAsia="Times New Roman" w:cs="Times New Roman"/>
                <w:color w:val="auto"/>
                <w:lang w:eastAsia="zh-CN"/>
              </w:rPr>
              <w:t>VTE</w:t>
            </w:r>
            <w:r>
              <w:rPr>
                <w:color w:val="auto"/>
                <w:spacing w:val="11"/>
                <w:lang w:eastAsia="zh-CN"/>
              </w:rPr>
              <w:t>规范预防，是指患者住院期间</w:t>
            </w:r>
            <w:r>
              <w:rPr>
                <w:color w:val="auto"/>
                <w:spacing w:val="9"/>
                <w:lang w:eastAsia="zh-CN"/>
              </w:rPr>
              <w:t>和出院后接受</w:t>
            </w:r>
            <w:r>
              <w:rPr>
                <w:rFonts w:ascii="Times New Roman" w:hAnsi="Times New Roman" w:eastAsia="Times New Roman" w:cs="Times New Roman"/>
                <w:color w:val="auto"/>
                <w:lang w:eastAsia="zh-CN"/>
              </w:rPr>
              <w:t>VTE</w:t>
            </w:r>
            <w:r>
              <w:rPr>
                <w:color w:val="auto"/>
                <w:spacing w:val="9"/>
                <w:lang w:eastAsia="zh-CN"/>
              </w:rPr>
              <w:t>风险与出血风险评估，</w:t>
            </w:r>
            <w:r>
              <w:rPr>
                <w:color w:val="auto"/>
                <w:spacing w:val="13"/>
                <w:lang w:eastAsia="zh-CN"/>
              </w:rPr>
              <w:t>并根据情况按照有关临床指南规范预防措施，包括基础预防、药物预防、机械预防</w:t>
            </w:r>
            <w:r>
              <w:rPr>
                <w:color w:val="auto"/>
                <w:lang w:eastAsia="zh-CN"/>
              </w:rPr>
              <w:t>等。</w:t>
            </w:r>
          </w:p>
        </w:tc>
        <w:tc>
          <w:tcPr>
            <w:tcW w:w="2977" w:type="dxa"/>
          </w:tcPr>
          <w:p>
            <w:pPr>
              <w:spacing w:line="240" w:lineRule="exact"/>
              <w:rPr>
                <w:color w:val="auto"/>
                <w:lang w:eastAsia="zh-CN"/>
              </w:rPr>
            </w:pPr>
          </w:p>
          <w:p>
            <w:pPr>
              <w:pStyle w:val="8"/>
              <w:spacing w:before="0" w:line="240" w:lineRule="exact"/>
              <w:ind w:left="20" w:right="11"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lang w:eastAsia="zh-CN"/>
              </w:rPr>
              <w:t>VTE</w:t>
            </w:r>
            <w:r>
              <w:rPr>
                <w:color w:val="auto"/>
                <w:spacing w:val="19"/>
                <w:lang w:eastAsia="zh-CN"/>
              </w:rPr>
              <w:t>风险评估率</w:t>
            </w:r>
            <w:r>
              <w:rPr>
                <w:rFonts w:ascii="Times New Roman" w:hAnsi="Times New Roman" w:eastAsia="Times New Roman" w:cs="Times New Roman"/>
                <w:color w:val="auto"/>
                <w:spacing w:val="19"/>
                <w:lang w:eastAsia="zh-CN"/>
              </w:rPr>
              <w:t>=</w:t>
            </w:r>
            <w:r>
              <w:rPr>
                <w:color w:val="auto"/>
                <w:spacing w:val="19"/>
                <w:lang w:eastAsia="zh-CN"/>
              </w:rPr>
              <w:t>接受</w:t>
            </w:r>
            <w:r>
              <w:rPr>
                <w:rFonts w:ascii="Times New Roman" w:hAnsi="Times New Roman" w:eastAsia="Times New Roman" w:cs="Times New Roman"/>
                <w:color w:val="auto"/>
                <w:lang w:eastAsia="zh-CN"/>
              </w:rPr>
              <w:t>VTE</w:t>
            </w:r>
            <w:r>
              <w:rPr>
                <w:color w:val="auto"/>
                <w:spacing w:val="19"/>
                <w:lang w:eastAsia="zh-CN"/>
              </w:rPr>
              <w:t>风险</w:t>
            </w:r>
            <w:r>
              <w:rPr>
                <w:color w:val="auto"/>
                <w:spacing w:val="14"/>
                <w:lang w:eastAsia="zh-CN"/>
              </w:rPr>
              <w:t>评估的出院患者人次</w:t>
            </w:r>
            <w:r>
              <w:rPr>
                <w:rFonts w:ascii="Times New Roman" w:hAnsi="Times New Roman" w:eastAsia="Times New Roman" w:cs="Times New Roman"/>
                <w:color w:val="auto"/>
                <w:spacing w:val="14"/>
                <w:lang w:eastAsia="zh-CN"/>
              </w:rPr>
              <w:t>/</w:t>
            </w:r>
            <w:r>
              <w:rPr>
                <w:color w:val="auto"/>
                <w:spacing w:val="14"/>
                <w:lang w:eastAsia="zh-CN"/>
              </w:rPr>
              <w:t>同期出院人</w:t>
            </w:r>
            <w:r>
              <w:rPr>
                <w:color w:val="auto"/>
                <w:spacing w:val="2"/>
                <w:lang w:eastAsia="zh-CN"/>
              </w:rPr>
              <w:t>次数</w:t>
            </w:r>
            <w:r>
              <w:rPr>
                <w:rFonts w:ascii="Times New Roman" w:hAnsi="Times New Roman" w:eastAsia="Times New Roman" w:cs="Times New Roman"/>
                <w:color w:val="auto"/>
                <w:spacing w:val="2"/>
                <w:lang w:eastAsia="zh-CN"/>
              </w:rPr>
              <w:t>×100%</w:t>
            </w:r>
          </w:p>
          <w:p>
            <w:pPr>
              <w:pStyle w:val="8"/>
              <w:spacing w:before="0" w:line="240" w:lineRule="exact"/>
              <w:ind w:left="15" w:firstLine="15"/>
              <w:jc w:val="both"/>
              <w:rPr>
                <w:rFonts w:ascii="Times New Roman" w:hAnsi="Times New Roman" w:eastAsia="Times New Roman" w:cs="Times New Roman"/>
                <w:color w:val="auto"/>
                <w:lang w:eastAsia="zh-CN"/>
              </w:rPr>
            </w:pPr>
            <w:r>
              <w:rPr>
                <w:color w:val="auto"/>
                <w:spacing w:val="2"/>
                <w:lang w:eastAsia="zh-CN"/>
              </w:rPr>
              <w:t>实施</w:t>
            </w:r>
            <w:r>
              <w:rPr>
                <w:rFonts w:ascii="Times New Roman" w:hAnsi="Times New Roman" w:eastAsia="Times New Roman" w:cs="Times New Roman"/>
                <w:color w:val="auto"/>
                <w:lang w:eastAsia="zh-CN"/>
              </w:rPr>
              <w:t>VIT</w:t>
            </w:r>
            <w:r>
              <w:rPr>
                <w:color w:val="auto"/>
                <w:spacing w:val="2"/>
                <w:lang w:eastAsia="zh-CN"/>
              </w:rPr>
              <w:t>规范预防措施比率</w:t>
            </w:r>
            <w:r>
              <w:rPr>
                <w:rFonts w:ascii="Times New Roman" w:hAnsi="Times New Roman" w:eastAsia="Times New Roman" w:cs="Times New Roman"/>
                <w:color w:val="auto"/>
                <w:spacing w:val="2"/>
                <w:lang w:eastAsia="zh-CN"/>
              </w:rPr>
              <w:t>=</w:t>
            </w:r>
            <w:r>
              <w:rPr>
                <w:color w:val="auto"/>
                <w:spacing w:val="2"/>
                <w:lang w:eastAsia="zh-CN"/>
              </w:rPr>
              <w:t>实施</w:t>
            </w:r>
            <w:r>
              <w:rPr>
                <w:rFonts w:ascii="Times New Roman" w:hAnsi="Times New Roman" w:eastAsia="Times New Roman" w:cs="Times New Roman"/>
                <w:color w:val="auto"/>
                <w:lang w:eastAsia="zh-CN"/>
              </w:rPr>
              <w:t>VTE</w:t>
            </w:r>
            <w:r>
              <w:rPr>
                <w:color w:val="auto"/>
                <w:spacing w:val="12"/>
                <w:lang w:eastAsia="zh-CN"/>
              </w:rPr>
              <w:t>规范预防措施的出院患者总</w:t>
            </w:r>
            <w:r>
              <w:rPr>
                <w:color w:val="auto"/>
                <w:spacing w:val="1"/>
                <w:lang w:eastAsia="zh-CN"/>
              </w:rPr>
              <w:t>例数</w:t>
            </w:r>
            <w:r>
              <w:rPr>
                <w:rFonts w:ascii="Times New Roman" w:hAnsi="Times New Roman" w:eastAsia="Times New Roman" w:cs="Times New Roman"/>
                <w:color w:val="auto"/>
                <w:spacing w:val="1"/>
                <w:lang w:eastAsia="zh-CN"/>
              </w:rPr>
              <w:t>/</w:t>
            </w:r>
            <w:r>
              <w:rPr>
                <w:rFonts w:ascii="Times New Roman" w:hAnsi="Times New Roman" w:eastAsia="Times New Roman" w:cs="Times New Roman"/>
                <w:color w:val="auto"/>
                <w:lang w:eastAsia="zh-CN"/>
              </w:rPr>
              <w:t>VTE</w:t>
            </w:r>
            <w:r>
              <w:rPr>
                <w:color w:val="auto"/>
                <w:spacing w:val="1"/>
                <w:lang w:eastAsia="zh-CN"/>
              </w:rPr>
              <w:t>风险评估为高危和（或）中危的出院患者人次</w:t>
            </w:r>
            <w:r>
              <w:rPr>
                <w:rFonts w:ascii="Times New Roman" w:hAnsi="Times New Roman" w:eastAsia="Times New Roman" w:cs="Times New Roman"/>
                <w:color w:val="auto"/>
                <w:spacing w:val="1"/>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1054" w:type="dxa"/>
            <w:vMerge w:val="continue"/>
            <w:tcBorders>
              <w:top w:val="nil"/>
              <w:bottom w:val="nil"/>
            </w:tcBorders>
          </w:tcPr>
          <w:p>
            <w:pPr>
              <w:spacing w:line="240" w:lineRule="exact"/>
              <w:rPr>
                <w:color w:val="auto"/>
              </w:rPr>
            </w:pPr>
          </w:p>
        </w:tc>
        <w:tc>
          <w:tcPr>
            <w:tcW w:w="833" w:type="dxa"/>
            <w:vMerge w:val="continue"/>
            <w:tcBorders>
              <w:top w:val="nil"/>
              <w:bottom w:val="nil"/>
            </w:tcBorders>
          </w:tcPr>
          <w:p>
            <w:pPr>
              <w:spacing w:line="240" w:lineRule="exact"/>
              <w:rPr>
                <w:color w:val="auto"/>
              </w:rPr>
            </w:pPr>
          </w:p>
        </w:tc>
        <w:tc>
          <w:tcPr>
            <w:tcW w:w="160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55" w:right="14" w:hanging="42"/>
              <w:rPr>
                <w:color w:val="auto"/>
                <w:lang w:eastAsia="zh-CN"/>
              </w:rPr>
            </w:pPr>
            <w:r>
              <w:rPr>
                <w:rFonts w:ascii="Times New Roman" w:hAnsi="Times New Roman" w:eastAsia="Times New Roman" w:cs="Times New Roman"/>
                <w:color w:val="auto"/>
                <w:spacing w:val="6"/>
                <w:lang w:eastAsia="zh-CN"/>
              </w:rPr>
              <w:t>2.</w:t>
            </w:r>
            <w:r>
              <w:rPr>
                <w:color w:val="auto"/>
                <w:spacing w:val="6"/>
                <w:lang w:eastAsia="zh-CN"/>
              </w:rPr>
              <w:t>医疗质量安全不</w:t>
            </w:r>
            <w:r>
              <w:rPr>
                <w:color w:val="auto"/>
                <w:spacing w:val="2"/>
                <w:lang w:eastAsia="zh-CN"/>
              </w:rPr>
              <w:t>良事件报告率</w:t>
            </w:r>
          </w:p>
        </w:tc>
        <w:tc>
          <w:tcPr>
            <w:tcW w:w="175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9" w:right="12" w:firstLine="23"/>
              <w:jc w:val="both"/>
              <w:rPr>
                <w:color w:val="auto"/>
                <w:lang w:eastAsia="zh-CN"/>
              </w:rPr>
            </w:pPr>
            <w:r>
              <w:rPr>
                <w:color w:val="auto"/>
                <w:spacing w:val="12"/>
                <w:lang w:eastAsia="zh-CN"/>
              </w:rPr>
              <w:t>医疗质量安全不良事件报告率包括床均医</w:t>
            </w:r>
            <w:r>
              <w:rPr>
                <w:color w:val="auto"/>
                <w:spacing w:val="13"/>
                <w:lang w:eastAsia="zh-CN"/>
              </w:rPr>
              <w:t>疗质量安全不良事件报告率和每百名出院</w:t>
            </w:r>
            <w:r>
              <w:rPr>
                <w:color w:val="auto"/>
                <w:spacing w:val="8"/>
                <w:lang w:eastAsia="zh-CN"/>
              </w:rPr>
              <w:t>人次医疗质量安全不良事件报告率。</w:t>
            </w:r>
          </w:p>
        </w:tc>
        <w:tc>
          <w:tcPr>
            <w:tcW w:w="2977" w:type="dxa"/>
          </w:tcPr>
          <w:p>
            <w:pPr>
              <w:pStyle w:val="8"/>
              <w:spacing w:before="0" w:line="240" w:lineRule="exact"/>
              <w:ind w:left="26" w:right="11" w:hanging="3"/>
              <w:jc w:val="both"/>
              <w:rPr>
                <w:rFonts w:ascii="Times New Roman" w:hAnsi="Times New Roman" w:eastAsia="Times New Roman" w:cs="Times New Roman"/>
                <w:color w:val="auto"/>
                <w:lang w:eastAsia="zh-CN"/>
              </w:rPr>
            </w:pPr>
            <w:r>
              <w:rPr>
                <w:color w:val="auto"/>
                <w:spacing w:val="19"/>
                <w:lang w:eastAsia="zh-CN"/>
              </w:rPr>
              <w:t>床均医疗质量安全不良事件报告</w:t>
            </w:r>
            <w:r>
              <w:rPr>
                <w:color w:val="auto"/>
                <w:spacing w:val="11"/>
                <w:lang w:eastAsia="zh-CN"/>
              </w:rPr>
              <w:t>率</w:t>
            </w:r>
            <w:r>
              <w:rPr>
                <w:rFonts w:ascii="Times New Roman" w:hAnsi="Times New Roman" w:eastAsia="Times New Roman" w:cs="Times New Roman"/>
                <w:color w:val="auto"/>
                <w:spacing w:val="11"/>
                <w:lang w:eastAsia="zh-CN"/>
              </w:rPr>
              <w:t>=</w:t>
            </w:r>
            <w:r>
              <w:rPr>
                <w:color w:val="auto"/>
                <w:spacing w:val="11"/>
                <w:lang w:eastAsia="zh-CN"/>
              </w:rPr>
              <w:t>医疗质量安全不良事件报告例</w:t>
            </w:r>
            <w:r>
              <w:rPr>
                <w:color w:val="auto"/>
                <w:spacing w:val="5"/>
                <w:lang w:eastAsia="zh-CN"/>
              </w:rPr>
              <w:t>数</w:t>
            </w:r>
            <w:r>
              <w:rPr>
                <w:rFonts w:ascii="Times New Roman" w:hAnsi="Times New Roman" w:eastAsia="Times New Roman" w:cs="Times New Roman"/>
                <w:color w:val="auto"/>
                <w:spacing w:val="5"/>
                <w:lang w:eastAsia="zh-CN"/>
              </w:rPr>
              <w:t>/</w:t>
            </w:r>
            <w:r>
              <w:rPr>
                <w:color w:val="auto"/>
                <w:spacing w:val="5"/>
                <w:lang w:eastAsia="zh-CN"/>
              </w:rPr>
              <w:t>同期开放床位数</w:t>
            </w:r>
            <w:r>
              <w:rPr>
                <w:rFonts w:ascii="Times New Roman" w:hAnsi="Times New Roman" w:eastAsia="Times New Roman" w:cs="Times New Roman"/>
                <w:color w:val="auto"/>
                <w:spacing w:val="5"/>
                <w:lang w:eastAsia="zh-CN"/>
              </w:rPr>
              <w:t>×100%</w:t>
            </w:r>
          </w:p>
          <w:p>
            <w:pPr>
              <w:pStyle w:val="8"/>
              <w:spacing w:before="0" w:line="240" w:lineRule="exact"/>
              <w:ind w:left="27" w:right="11" w:hanging="6"/>
              <w:jc w:val="both"/>
              <w:rPr>
                <w:rFonts w:ascii="Times New Roman" w:hAnsi="Times New Roman" w:eastAsia="Times New Roman" w:cs="Times New Roman"/>
                <w:color w:val="auto"/>
                <w:lang w:eastAsia="zh-CN"/>
              </w:rPr>
            </w:pPr>
            <w:r>
              <w:rPr>
                <w:color w:val="auto"/>
                <w:spacing w:val="19"/>
                <w:lang w:eastAsia="zh-CN"/>
              </w:rPr>
              <w:t>每百名出院人次医疗质量安全不</w:t>
            </w:r>
            <w:r>
              <w:rPr>
                <w:color w:val="auto"/>
                <w:spacing w:val="11"/>
                <w:lang w:eastAsia="zh-CN"/>
              </w:rPr>
              <w:t>良事件报告率</w:t>
            </w:r>
            <w:r>
              <w:rPr>
                <w:rFonts w:ascii="Times New Roman" w:hAnsi="Times New Roman" w:eastAsia="Times New Roman" w:cs="Times New Roman"/>
                <w:color w:val="auto"/>
                <w:spacing w:val="11"/>
                <w:lang w:eastAsia="zh-CN"/>
              </w:rPr>
              <w:t>=</w:t>
            </w:r>
            <w:r>
              <w:rPr>
                <w:color w:val="auto"/>
                <w:spacing w:val="11"/>
                <w:lang w:eastAsia="zh-CN"/>
              </w:rPr>
              <w:t>医疗质量安全不良</w:t>
            </w:r>
            <w:r>
              <w:rPr>
                <w:color w:val="auto"/>
                <w:spacing w:val="14"/>
                <w:lang w:eastAsia="zh-CN"/>
              </w:rPr>
              <w:t>事件报告例数</w:t>
            </w:r>
            <w:r>
              <w:rPr>
                <w:rFonts w:ascii="Times New Roman" w:hAnsi="Times New Roman" w:eastAsia="Times New Roman" w:cs="Times New Roman"/>
                <w:color w:val="auto"/>
                <w:spacing w:val="14"/>
                <w:lang w:eastAsia="zh-CN"/>
              </w:rPr>
              <w:t>/</w:t>
            </w:r>
            <w:r>
              <w:rPr>
                <w:color w:val="auto"/>
                <w:spacing w:val="14"/>
                <w:lang w:eastAsia="zh-CN"/>
              </w:rPr>
              <w:t>同期出院患者人次</w:t>
            </w:r>
            <w:r>
              <w:rPr>
                <w:rFonts w:ascii="Times New Roman" w:hAnsi="Times New Roman" w:eastAsia="Times New Roman" w:cs="Times New Roman"/>
                <w:color w:val="auto"/>
                <w:spacing w:val="-2"/>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1054" w:type="dxa"/>
            <w:vMerge w:val="continue"/>
            <w:tcBorders>
              <w:top w:val="nil"/>
              <w:bottom w:val="nil"/>
            </w:tcBorders>
          </w:tcPr>
          <w:p>
            <w:pPr>
              <w:spacing w:line="240" w:lineRule="exact"/>
              <w:rPr>
                <w:color w:val="auto"/>
              </w:rPr>
            </w:pPr>
          </w:p>
        </w:tc>
        <w:tc>
          <w:tcPr>
            <w:tcW w:w="833" w:type="dxa"/>
            <w:vMerge w:val="continue"/>
            <w:tcBorders>
              <w:top w:val="nil"/>
            </w:tcBorders>
          </w:tcPr>
          <w:p>
            <w:pPr>
              <w:spacing w:line="240" w:lineRule="exact"/>
              <w:rPr>
                <w:color w:val="auto"/>
              </w:rPr>
            </w:pPr>
          </w:p>
        </w:tc>
        <w:tc>
          <w:tcPr>
            <w:tcW w:w="160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36" w:hanging="4"/>
              <w:rPr>
                <w:color w:val="auto"/>
                <w:lang w:eastAsia="zh-CN"/>
              </w:rPr>
            </w:pPr>
            <w:r>
              <w:rPr>
                <w:rFonts w:ascii="Times New Roman" w:hAnsi="Times New Roman" w:eastAsia="Times New Roman" w:cs="Times New Roman"/>
                <w:color w:val="auto"/>
                <w:spacing w:val="7"/>
                <w:lang w:eastAsia="zh-CN"/>
              </w:rPr>
              <w:t>3.</w:t>
            </w:r>
            <w:r>
              <w:rPr>
                <w:color w:val="auto"/>
                <w:spacing w:val="7"/>
                <w:lang w:eastAsia="zh-CN"/>
              </w:rPr>
              <w:t>住院患者静脉输</w:t>
            </w:r>
            <w:r>
              <w:rPr>
                <w:color w:val="auto"/>
                <w:spacing w:val="6"/>
                <w:lang w:eastAsia="zh-CN"/>
              </w:rPr>
              <w:t>液使用率</w:t>
            </w:r>
          </w:p>
        </w:tc>
        <w:tc>
          <w:tcPr>
            <w:tcW w:w="175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firstLine="1"/>
              <w:jc w:val="both"/>
              <w:rPr>
                <w:color w:val="auto"/>
                <w:lang w:eastAsia="zh-CN"/>
              </w:rPr>
            </w:pPr>
            <w:r>
              <w:rPr>
                <w:color w:val="auto"/>
                <w:spacing w:val="11"/>
                <w:lang w:eastAsia="zh-CN"/>
              </w:rPr>
              <w:t>使用静脉输液的住院患者数占同期出院患者总数的比例。静脉输液包括静脉滴注和静脉推注。疫苗、溶媒、局麻、封闭、结膜下、肌肉、皮下、球后注射药、皮试液</w:t>
            </w:r>
            <w:r>
              <w:rPr>
                <w:color w:val="auto"/>
                <w:spacing w:val="8"/>
                <w:lang w:eastAsia="zh-CN"/>
              </w:rPr>
              <w:t>等不列入静脉输液的统计范围。同一患者</w:t>
            </w:r>
            <w:r>
              <w:rPr>
                <w:color w:val="auto"/>
                <w:spacing w:val="7"/>
                <w:lang w:eastAsia="zh-CN"/>
              </w:rPr>
              <w:t>使用多种静脉输注药物（含中药注射剂</w:t>
            </w:r>
            <w:r>
              <w:rPr>
                <w:color w:val="auto"/>
                <w:spacing w:val="-24"/>
                <w:lang w:eastAsia="zh-CN"/>
              </w:rPr>
              <w:t>），</w:t>
            </w:r>
            <w:r>
              <w:rPr>
                <w:color w:val="auto"/>
                <w:spacing w:val="9"/>
                <w:lang w:eastAsia="zh-CN"/>
              </w:rPr>
              <w:t>记为</w:t>
            </w:r>
            <w:r>
              <w:rPr>
                <w:rFonts w:ascii="Times New Roman" w:hAnsi="Times New Roman" w:eastAsia="Times New Roman" w:cs="Times New Roman"/>
                <w:color w:val="auto"/>
                <w:spacing w:val="9"/>
                <w:lang w:eastAsia="zh-CN"/>
              </w:rPr>
              <w:t>1</w:t>
            </w:r>
            <w:r>
              <w:rPr>
                <w:color w:val="auto"/>
                <w:spacing w:val="9"/>
                <w:lang w:eastAsia="zh-CN"/>
              </w:rPr>
              <w:t>例。为便于统计，使用静脉输液的</w:t>
            </w:r>
            <w:r>
              <w:rPr>
                <w:color w:val="auto"/>
                <w:spacing w:val="11"/>
                <w:lang w:eastAsia="zh-CN"/>
              </w:rPr>
              <w:t>住院患者数和住院患者总数均以出院患者</w:t>
            </w:r>
            <w:r>
              <w:rPr>
                <w:color w:val="auto"/>
                <w:spacing w:val="5"/>
                <w:lang w:eastAsia="zh-CN"/>
              </w:rPr>
              <w:t>的人数计算。</w:t>
            </w:r>
          </w:p>
        </w:tc>
        <w:tc>
          <w:tcPr>
            <w:tcW w:w="29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11"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使用静脉输液的住院患者数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5"/>
                <w:lang w:eastAsia="zh-CN"/>
              </w:rPr>
              <w:t>期出院患者总数</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054" w:type="dxa"/>
            <w:vMerge w:val="continue"/>
            <w:tcBorders>
              <w:top w:val="nil"/>
            </w:tcBorders>
          </w:tcPr>
          <w:p>
            <w:pPr>
              <w:spacing w:line="240" w:lineRule="exact"/>
              <w:rPr>
                <w:color w:val="auto"/>
              </w:rPr>
            </w:pPr>
          </w:p>
        </w:tc>
        <w:tc>
          <w:tcPr>
            <w:tcW w:w="2434" w:type="dxa"/>
            <w:gridSpan w:val="2"/>
          </w:tcPr>
          <w:p>
            <w:pPr>
              <w:pStyle w:val="8"/>
              <w:spacing w:before="0" w:line="240" w:lineRule="exact"/>
              <w:ind w:left="14"/>
              <w:rPr>
                <w:color w:val="auto"/>
                <w:lang w:eastAsia="zh-CN"/>
              </w:rPr>
            </w:pPr>
            <w:r>
              <w:rPr>
                <w:color w:val="auto"/>
                <w:lang w:eastAsia="zh-CN"/>
              </w:rPr>
              <w:t>（二）患者住院总死亡率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5" w:right="12" w:hanging="2"/>
              <w:rPr>
                <w:color w:val="auto"/>
                <w:lang w:eastAsia="zh-CN"/>
              </w:rPr>
            </w:pPr>
            <w:r>
              <w:rPr>
                <w:color w:val="auto"/>
                <w:spacing w:val="13"/>
                <w:lang w:eastAsia="zh-CN"/>
              </w:rPr>
              <w:t>住院总死亡患者人数占同期出院患者总人</w:t>
            </w:r>
            <w:r>
              <w:rPr>
                <w:color w:val="auto"/>
                <w:spacing w:val="5"/>
                <w:lang w:eastAsia="zh-CN"/>
              </w:rPr>
              <w:t>次的比例。</w:t>
            </w:r>
          </w:p>
        </w:tc>
        <w:tc>
          <w:tcPr>
            <w:tcW w:w="2977" w:type="dxa"/>
          </w:tcPr>
          <w:p>
            <w:pPr>
              <w:pStyle w:val="8"/>
              <w:spacing w:before="0" w:line="240" w:lineRule="exact"/>
              <w:ind w:left="32" w:right="11"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住院总死亡患者人数</w:t>
            </w:r>
            <w:r>
              <w:rPr>
                <w:rFonts w:ascii="Times New Roman" w:hAnsi="Times New Roman" w:eastAsia="Times New Roman" w:cs="Times New Roman"/>
                <w:color w:val="auto"/>
                <w:spacing w:val="20"/>
                <w:lang w:eastAsia="zh-CN"/>
              </w:rPr>
              <w:t>/</w:t>
            </w:r>
            <w:r>
              <w:rPr>
                <w:color w:val="auto"/>
                <w:spacing w:val="20"/>
                <w:lang w:eastAsia="zh-CN"/>
              </w:rPr>
              <w:t>同期出院</w:t>
            </w:r>
            <w:r>
              <w:rPr>
                <w:color w:val="auto"/>
                <w:spacing w:val="3"/>
                <w:lang w:eastAsia="zh-CN"/>
              </w:rPr>
              <w:t>患者总人次</w:t>
            </w:r>
            <w:r>
              <w:rPr>
                <w:rFonts w:ascii="Times New Roman" w:hAnsi="Times New Roman" w:eastAsia="Times New Roman" w:cs="Times New Roman"/>
                <w:color w:val="auto"/>
                <w:spacing w:val="3"/>
                <w:lang w:eastAsia="zh-CN"/>
              </w:rPr>
              <w:t>×100%</w:t>
            </w:r>
          </w:p>
        </w:tc>
        <w:tc>
          <w:tcPr>
            <w:tcW w:w="1142" w:type="dxa"/>
          </w:tcPr>
          <w:p>
            <w:pPr>
              <w:pStyle w:val="8"/>
              <w:spacing w:before="0" w:line="240" w:lineRule="exact"/>
              <w:ind w:left="172"/>
              <w:rPr>
                <w:color w:val="auto"/>
              </w:rPr>
            </w:pPr>
            <w:r>
              <w:rPr>
                <w:color w:val="auto"/>
                <w:spacing w:val="8"/>
              </w:rPr>
              <w:t>逐步降低</w:t>
            </w:r>
          </w:p>
        </w:tc>
      </w:tr>
    </w:tbl>
    <w:p>
      <w:pPr>
        <w:rPr>
          <w:color w:val="auto"/>
        </w:rPr>
      </w:pPr>
    </w:p>
    <w:p>
      <w:pPr>
        <w:rPr>
          <w:color w:val="auto"/>
        </w:rPr>
        <w:sectPr>
          <w:footerReference r:id="rId21" w:type="default"/>
          <w:pgSz w:w="16839" w:h="11906"/>
          <w:pgMar w:top="1012" w:right="126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217"/>
        <w:gridCol w:w="1217"/>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4" w:type="dxa"/>
          </w:tcPr>
          <w:p>
            <w:pPr>
              <w:spacing w:before="164" w:line="230" w:lineRule="auto"/>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gridSpan w:val="2"/>
          </w:tcPr>
          <w:p>
            <w:pPr>
              <w:spacing w:before="163" w:line="232" w:lineRule="auto"/>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163" w:line="231" w:lineRule="auto"/>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163" w:line="231" w:lineRule="auto"/>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163" w:line="232" w:lineRule="auto"/>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163" w:line="230" w:lineRule="auto"/>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163" w:line="231" w:lineRule="auto"/>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54" w:type="dxa"/>
            <w:vMerge w:val="restart"/>
            <w:tcBorders>
              <w:bottom w:val="nil"/>
            </w:tcBorders>
          </w:tcPr>
          <w:p>
            <w:pPr>
              <w:spacing w:line="240" w:lineRule="exact"/>
              <w:rPr>
                <w:color w:val="auto"/>
              </w:rPr>
            </w:pPr>
          </w:p>
        </w:tc>
        <w:tc>
          <w:tcPr>
            <w:tcW w:w="2434" w:type="dxa"/>
            <w:gridSpan w:val="2"/>
          </w:tcPr>
          <w:p>
            <w:pPr>
              <w:pStyle w:val="8"/>
              <w:spacing w:before="0" w:line="240" w:lineRule="exact"/>
              <w:ind w:left="14"/>
              <w:rPr>
                <w:color w:val="auto"/>
                <w:lang w:eastAsia="zh-CN"/>
              </w:rPr>
            </w:pPr>
            <w:r>
              <w:rPr>
                <w:color w:val="auto"/>
                <w:spacing w:val="9"/>
                <w:lang w:eastAsia="zh-CN"/>
              </w:rPr>
              <w:t>（三）手术患者住院死亡率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33" w:right="12" w:hanging="5"/>
              <w:rPr>
                <w:color w:val="auto"/>
                <w:lang w:eastAsia="zh-CN"/>
              </w:rPr>
            </w:pPr>
            <w:r>
              <w:rPr>
                <w:color w:val="auto"/>
                <w:spacing w:val="13"/>
                <w:lang w:eastAsia="zh-CN"/>
              </w:rPr>
              <w:t>手术患者住院死亡人数占同期手术患者出</w:t>
            </w:r>
            <w:r>
              <w:rPr>
                <w:color w:val="auto"/>
                <w:spacing w:val="5"/>
                <w:lang w:eastAsia="zh-CN"/>
              </w:rPr>
              <w:t>院人次的比例。</w:t>
            </w:r>
          </w:p>
        </w:tc>
        <w:tc>
          <w:tcPr>
            <w:tcW w:w="2977" w:type="dxa"/>
          </w:tcPr>
          <w:p>
            <w:pPr>
              <w:pStyle w:val="8"/>
              <w:spacing w:before="0" w:line="240" w:lineRule="exact"/>
              <w:ind w:left="22" w:right="11"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手术患者住院死亡人数</w:t>
            </w:r>
            <w:r>
              <w:rPr>
                <w:rFonts w:ascii="Times New Roman" w:hAnsi="Times New Roman" w:eastAsia="Times New Roman" w:cs="Times New Roman"/>
                <w:color w:val="auto"/>
                <w:spacing w:val="20"/>
                <w:lang w:eastAsia="zh-CN"/>
              </w:rPr>
              <w:t>/</w:t>
            </w:r>
            <w:r>
              <w:rPr>
                <w:color w:val="auto"/>
                <w:spacing w:val="20"/>
                <w:lang w:eastAsia="zh-CN"/>
              </w:rPr>
              <w:t>同期手</w:t>
            </w:r>
            <w:r>
              <w:rPr>
                <w:color w:val="auto"/>
                <w:spacing w:val="5"/>
                <w:lang w:eastAsia="zh-CN"/>
              </w:rPr>
              <w:t>术患者出院人次</w:t>
            </w:r>
            <w:r>
              <w:rPr>
                <w:rFonts w:ascii="Times New Roman" w:hAnsi="Times New Roman" w:eastAsia="Times New Roman" w:cs="Times New Roman"/>
                <w:color w:val="auto"/>
                <w:spacing w:val="5"/>
                <w:lang w:eastAsia="zh-CN"/>
              </w:rPr>
              <w:t>×100%</w:t>
            </w:r>
          </w:p>
        </w:tc>
        <w:tc>
          <w:tcPr>
            <w:tcW w:w="1142" w:type="dxa"/>
          </w:tcPr>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54" w:type="dxa"/>
            <w:vMerge w:val="continue"/>
            <w:tcBorders>
              <w:top w:val="nil"/>
              <w:bottom w:val="nil"/>
            </w:tcBorders>
          </w:tcPr>
          <w:p>
            <w:pPr>
              <w:spacing w:line="240" w:lineRule="exact"/>
              <w:rPr>
                <w:color w:val="auto"/>
              </w:rPr>
            </w:pPr>
          </w:p>
        </w:tc>
        <w:tc>
          <w:tcPr>
            <w:tcW w:w="2434" w:type="dxa"/>
            <w:gridSpan w:val="2"/>
          </w:tcPr>
          <w:p>
            <w:pPr>
              <w:pStyle w:val="8"/>
              <w:spacing w:before="0" w:line="240" w:lineRule="exact"/>
              <w:ind w:left="22" w:right="13" w:hanging="8"/>
              <w:rPr>
                <w:color w:val="auto"/>
                <w:lang w:eastAsia="zh-CN"/>
              </w:rPr>
            </w:pPr>
            <w:r>
              <w:rPr>
                <w:color w:val="auto"/>
                <w:spacing w:val="6"/>
                <w:lang w:eastAsia="zh-CN"/>
              </w:rPr>
              <w:t>（四）住院患者出院后</w:t>
            </w:r>
            <w:r>
              <w:rPr>
                <w:rFonts w:ascii="Times New Roman" w:hAnsi="Times New Roman" w:eastAsia="Times New Roman" w:cs="Times New Roman"/>
                <w:color w:val="auto"/>
                <w:spacing w:val="6"/>
                <w:lang w:eastAsia="zh-CN"/>
              </w:rPr>
              <w:t>0-31</w:t>
            </w:r>
            <w:r>
              <w:rPr>
                <w:color w:val="auto"/>
                <w:spacing w:val="8"/>
                <w:lang w:eastAsia="zh-CN"/>
              </w:rPr>
              <w:t>天非预期再住院率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31" w:right="12" w:firstLine="11"/>
              <w:jc w:val="both"/>
              <w:rPr>
                <w:color w:val="auto"/>
                <w:lang w:eastAsia="zh-CN"/>
              </w:rPr>
            </w:pPr>
            <w:r>
              <w:rPr>
                <w:color w:val="auto"/>
                <w:spacing w:val="6"/>
                <w:lang w:eastAsia="zh-CN"/>
              </w:rPr>
              <w:t>医院出院患者出院后</w:t>
            </w:r>
            <w:r>
              <w:rPr>
                <w:rFonts w:ascii="Times New Roman" w:hAnsi="Times New Roman" w:eastAsia="Times New Roman" w:cs="Times New Roman"/>
                <w:color w:val="auto"/>
                <w:spacing w:val="6"/>
                <w:lang w:eastAsia="zh-CN"/>
              </w:rPr>
              <w:t>0-31</w:t>
            </w:r>
            <w:r>
              <w:rPr>
                <w:color w:val="auto"/>
                <w:spacing w:val="6"/>
                <w:lang w:eastAsia="zh-CN"/>
              </w:rPr>
              <w:t>天非预期再住院</w:t>
            </w:r>
            <w:r>
              <w:rPr>
                <w:color w:val="auto"/>
                <w:spacing w:val="13"/>
                <w:lang w:eastAsia="zh-CN"/>
              </w:rPr>
              <w:t>患者人次占同期出院患者总人次（除死亡</w:t>
            </w:r>
            <w:r>
              <w:rPr>
                <w:color w:val="auto"/>
                <w:spacing w:val="6"/>
                <w:lang w:eastAsia="zh-CN"/>
              </w:rPr>
              <w:t>患者外）的比例。</w:t>
            </w:r>
          </w:p>
        </w:tc>
        <w:tc>
          <w:tcPr>
            <w:tcW w:w="2977" w:type="dxa"/>
          </w:tcPr>
          <w:p>
            <w:pPr>
              <w:pStyle w:val="8"/>
              <w:spacing w:before="0" w:line="240" w:lineRule="exact"/>
              <w:ind w:left="22" w:right="11"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lang w:eastAsia="zh-CN"/>
              </w:rPr>
              <w:t>=</w:t>
            </w:r>
            <w:r>
              <w:rPr>
                <w:color w:val="auto"/>
                <w:spacing w:val="6"/>
                <w:lang w:eastAsia="zh-CN"/>
              </w:rPr>
              <w:t>出院后</w:t>
            </w:r>
            <w:r>
              <w:rPr>
                <w:rFonts w:ascii="Times New Roman" w:hAnsi="Times New Roman" w:eastAsia="Times New Roman" w:cs="Times New Roman"/>
                <w:color w:val="auto"/>
                <w:spacing w:val="6"/>
                <w:lang w:eastAsia="zh-CN"/>
              </w:rPr>
              <w:t>0-31</w:t>
            </w:r>
            <w:r>
              <w:rPr>
                <w:color w:val="auto"/>
                <w:spacing w:val="6"/>
                <w:lang w:eastAsia="zh-CN"/>
              </w:rPr>
              <w:t>天非预期再住院患者</w:t>
            </w:r>
            <w:r>
              <w:rPr>
                <w:color w:val="auto"/>
                <w:spacing w:val="14"/>
                <w:lang w:eastAsia="zh-CN"/>
              </w:rPr>
              <w:t>人次</w:t>
            </w:r>
            <w:r>
              <w:rPr>
                <w:rFonts w:ascii="Times New Roman" w:hAnsi="Times New Roman" w:eastAsia="Times New Roman" w:cs="Times New Roman"/>
                <w:color w:val="auto"/>
                <w:spacing w:val="14"/>
                <w:lang w:eastAsia="zh-CN"/>
              </w:rPr>
              <w:t>/</w:t>
            </w:r>
            <w:r>
              <w:rPr>
                <w:color w:val="auto"/>
                <w:spacing w:val="14"/>
                <w:lang w:eastAsia="zh-CN"/>
              </w:rPr>
              <w:t>同期出院患者总人次数（除</w:t>
            </w:r>
            <w:r>
              <w:rPr>
                <w:color w:val="auto"/>
                <w:spacing w:val="2"/>
                <w:lang w:eastAsia="zh-CN"/>
              </w:rPr>
              <w:t>死亡患者外）</w:t>
            </w:r>
            <w:r>
              <w:rPr>
                <w:rFonts w:ascii="Times New Roman" w:hAnsi="Times New Roman" w:eastAsia="Times New Roman" w:cs="Times New Roman"/>
                <w:color w:val="auto"/>
                <w:spacing w:val="2"/>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54" w:type="dxa"/>
            <w:vMerge w:val="continue"/>
            <w:tcBorders>
              <w:top w:val="nil"/>
              <w:bottom w:val="nil"/>
            </w:tcBorders>
          </w:tcPr>
          <w:p>
            <w:pPr>
              <w:spacing w:line="240" w:lineRule="exact"/>
              <w:rPr>
                <w:color w:val="auto"/>
              </w:rPr>
            </w:pPr>
          </w:p>
        </w:tc>
        <w:tc>
          <w:tcPr>
            <w:tcW w:w="1217" w:type="dxa"/>
            <w:vMerge w:val="restart"/>
            <w:tcBorders>
              <w:bottom w:val="nil"/>
            </w:tcBorders>
          </w:tcPr>
          <w:p>
            <w:pPr>
              <w:spacing w:line="240" w:lineRule="exact"/>
              <w:rPr>
                <w:color w:val="auto"/>
                <w:lang w:eastAsia="zh-CN"/>
              </w:rPr>
            </w:pPr>
          </w:p>
          <w:p>
            <w:pPr>
              <w:spacing w:line="240" w:lineRule="exact"/>
              <w:rPr>
                <w:color w:val="auto"/>
                <w:lang w:eastAsia="zh-CN"/>
              </w:rPr>
            </w:pPr>
          </w:p>
          <w:p>
            <w:pPr>
              <w:pStyle w:val="8"/>
              <w:spacing w:before="0" w:line="240" w:lineRule="exact"/>
              <w:ind w:left="18" w:right="14" w:hanging="4"/>
              <w:jc w:val="both"/>
              <w:rPr>
                <w:color w:val="auto"/>
                <w:lang w:eastAsia="zh-CN"/>
              </w:rPr>
            </w:pPr>
            <w:r>
              <w:rPr>
                <w:color w:val="auto"/>
                <w:spacing w:val="7"/>
                <w:lang w:eastAsia="zh-CN"/>
              </w:rPr>
              <w:t>（五）手术患</w:t>
            </w:r>
            <w:r>
              <w:rPr>
                <w:color w:val="auto"/>
                <w:spacing w:val="11"/>
                <w:lang w:eastAsia="zh-CN"/>
              </w:rPr>
              <w:t>者术后</w:t>
            </w:r>
            <w:r>
              <w:rPr>
                <w:rFonts w:ascii="Times New Roman" w:hAnsi="Times New Roman" w:eastAsia="Times New Roman" w:cs="Times New Roman"/>
                <w:color w:val="auto"/>
                <w:spacing w:val="11"/>
                <w:lang w:eastAsia="zh-CN"/>
              </w:rPr>
              <w:t>48</w:t>
            </w:r>
            <w:r>
              <w:rPr>
                <w:color w:val="auto"/>
                <w:spacing w:val="11"/>
                <w:lang w:eastAsia="zh-CN"/>
              </w:rPr>
              <w:t>小</w:t>
            </w:r>
            <w:r>
              <w:rPr>
                <w:color w:val="auto"/>
                <w:spacing w:val="13"/>
                <w:lang w:eastAsia="zh-CN"/>
              </w:rPr>
              <w:t>时</w:t>
            </w:r>
            <w:r>
              <w:rPr>
                <w:rFonts w:ascii="Times New Roman" w:hAnsi="Times New Roman" w:eastAsia="Times New Roman" w:cs="Times New Roman"/>
                <w:color w:val="auto"/>
                <w:spacing w:val="13"/>
                <w:lang w:eastAsia="zh-CN"/>
              </w:rPr>
              <w:t>/31</w:t>
            </w:r>
            <w:r>
              <w:rPr>
                <w:color w:val="auto"/>
                <w:spacing w:val="13"/>
                <w:lang w:eastAsia="zh-CN"/>
              </w:rPr>
              <w:t>天内非</w:t>
            </w:r>
            <w:r>
              <w:rPr>
                <w:color w:val="auto"/>
                <w:spacing w:val="-4"/>
                <w:lang w:eastAsia="zh-CN"/>
              </w:rPr>
              <w:t>预期重返手</w:t>
            </w:r>
            <w:r>
              <w:rPr>
                <w:color w:val="auto"/>
                <w:spacing w:val="-6"/>
                <w:lang w:eastAsia="zh-CN"/>
              </w:rPr>
              <w:t>术室再次手</w:t>
            </w:r>
            <w:r>
              <w:rPr>
                <w:color w:val="auto"/>
                <w:spacing w:val="4"/>
                <w:lang w:eastAsia="zh-CN"/>
              </w:rPr>
              <w:t>术率</w:t>
            </w:r>
          </w:p>
        </w:tc>
        <w:tc>
          <w:tcPr>
            <w:tcW w:w="1217" w:type="dxa"/>
          </w:tcPr>
          <w:p>
            <w:pPr>
              <w:pStyle w:val="8"/>
              <w:spacing w:before="0" w:line="240" w:lineRule="exact"/>
              <w:ind w:left="19" w:right="53" w:firstLine="13"/>
              <w:rPr>
                <w:color w:val="auto"/>
                <w:lang w:eastAsia="zh-CN"/>
              </w:rPr>
            </w:pPr>
            <w:r>
              <w:rPr>
                <w:rFonts w:ascii="Times New Roman" w:hAnsi="Times New Roman" w:eastAsia="Times New Roman" w:cs="Times New Roman"/>
                <w:color w:val="auto"/>
                <w:spacing w:val="4"/>
                <w:lang w:eastAsia="zh-CN"/>
              </w:rPr>
              <w:t>1.</w:t>
            </w:r>
            <w:r>
              <w:rPr>
                <w:color w:val="auto"/>
                <w:spacing w:val="4"/>
                <w:lang w:eastAsia="zh-CN"/>
              </w:rPr>
              <w:t>手术患者术后</w:t>
            </w:r>
            <w:r>
              <w:rPr>
                <w:rFonts w:ascii="Times New Roman" w:hAnsi="Times New Roman" w:eastAsia="Times New Roman" w:cs="Times New Roman"/>
                <w:color w:val="auto"/>
                <w:spacing w:val="4"/>
                <w:lang w:eastAsia="zh-CN"/>
              </w:rPr>
              <w:t>48</w:t>
            </w:r>
            <w:r>
              <w:rPr>
                <w:color w:val="auto"/>
                <w:spacing w:val="4"/>
                <w:lang w:eastAsia="zh-CN"/>
              </w:rPr>
              <w:t>小时内</w:t>
            </w:r>
            <w:r>
              <w:rPr>
                <w:color w:val="auto"/>
                <w:spacing w:val="7"/>
                <w:lang w:eastAsia="zh-CN"/>
              </w:rPr>
              <w:t>非预期重返手术室再次</w:t>
            </w:r>
            <w:r>
              <w:rPr>
                <w:color w:val="auto"/>
                <w:spacing w:val="6"/>
                <w:lang w:eastAsia="zh-CN"/>
              </w:rPr>
              <w:t>手术率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8" w:right="12"/>
              <w:jc w:val="both"/>
              <w:rPr>
                <w:color w:val="auto"/>
                <w:lang w:eastAsia="zh-CN"/>
              </w:rPr>
            </w:pPr>
            <w:r>
              <w:rPr>
                <w:color w:val="auto"/>
                <w:spacing w:val="7"/>
                <w:lang w:eastAsia="zh-CN"/>
              </w:rPr>
              <w:t>手术患者手术后</w:t>
            </w:r>
            <w:r>
              <w:rPr>
                <w:rFonts w:ascii="Times New Roman" w:hAnsi="Times New Roman" w:eastAsia="Times New Roman" w:cs="Times New Roman"/>
                <w:color w:val="auto"/>
                <w:spacing w:val="7"/>
                <w:lang w:eastAsia="zh-CN"/>
              </w:rPr>
              <w:t>48</w:t>
            </w:r>
            <w:r>
              <w:rPr>
                <w:color w:val="auto"/>
                <w:spacing w:val="7"/>
                <w:lang w:eastAsia="zh-CN"/>
              </w:rPr>
              <w:t>小时内因各种原因导致</w:t>
            </w:r>
            <w:r>
              <w:rPr>
                <w:color w:val="auto"/>
                <w:spacing w:val="13"/>
                <w:lang w:eastAsia="zh-CN"/>
              </w:rPr>
              <w:t>患者需进行的计划外再次手术占同期出院</w:t>
            </w:r>
            <w:r>
              <w:rPr>
                <w:color w:val="auto"/>
                <w:spacing w:val="7"/>
                <w:lang w:eastAsia="zh-CN"/>
              </w:rPr>
              <w:t>手术患者手术例数的比例。</w:t>
            </w:r>
          </w:p>
        </w:tc>
        <w:tc>
          <w:tcPr>
            <w:tcW w:w="2977" w:type="dxa"/>
          </w:tcPr>
          <w:p>
            <w:pPr>
              <w:pStyle w:val="8"/>
              <w:spacing w:before="0" w:line="240" w:lineRule="exact"/>
              <w:ind w:left="29" w:right="11" w:hanging="12"/>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5"/>
                <w:lang w:eastAsia="zh-CN"/>
              </w:rPr>
              <w:t>=</w:t>
            </w:r>
            <w:r>
              <w:rPr>
                <w:color w:val="auto"/>
                <w:spacing w:val="15"/>
                <w:lang w:eastAsia="zh-CN"/>
              </w:rPr>
              <w:t>手术患者术后</w:t>
            </w:r>
            <w:r>
              <w:rPr>
                <w:rFonts w:ascii="Times New Roman" w:hAnsi="Times New Roman" w:eastAsia="Times New Roman" w:cs="Times New Roman"/>
                <w:color w:val="auto"/>
                <w:spacing w:val="15"/>
                <w:lang w:eastAsia="zh-CN"/>
              </w:rPr>
              <w:t>48</w:t>
            </w:r>
            <w:r>
              <w:rPr>
                <w:color w:val="auto"/>
                <w:spacing w:val="15"/>
                <w:lang w:eastAsia="zh-CN"/>
              </w:rPr>
              <w:t>小时内非预期</w:t>
            </w:r>
            <w:r>
              <w:rPr>
                <w:color w:val="auto"/>
                <w:spacing w:val="14"/>
                <w:lang w:eastAsia="zh-CN"/>
              </w:rPr>
              <w:t>重返手术室再次手术例数</w:t>
            </w:r>
            <w:r>
              <w:rPr>
                <w:rFonts w:ascii="Times New Roman" w:hAnsi="Times New Roman" w:eastAsia="Times New Roman" w:cs="Times New Roman"/>
                <w:color w:val="auto"/>
                <w:spacing w:val="14"/>
                <w:lang w:eastAsia="zh-CN"/>
              </w:rPr>
              <w:t>/</w:t>
            </w:r>
            <w:r>
              <w:rPr>
                <w:color w:val="auto"/>
                <w:spacing w:val="14"/>
                <w:lang w:eastAsia="zh-CN"/>
              </w:rPr>
              <w:t>同期出</w:t>
            </w:r>
            <w:r>
              <w:rPr>
                <w:color w:val="auto"/>
                <w:spacing w:val="4"/>
                <w:lang w:eastAsia="zh-CN"/>
              </w:rPr>
              <w:t>院患者手术例数</w:t>
            </w:r>
            <w:r>
              <w:rPr>
                <w:rFonts w:ascii="Times New Roman" w:hAnsi="Times New Roman" w:eastAsia="Times New Roman" w:cs="Times New Roman"/>
                <w:color w:val="auto"/>
                <w:spacing w:val="4"/>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54" w:type="dxa"/>
            <w:vMerge w:val="continue"/>
            <w:tcBorders>
              <w:top w:val="nil"/>
              <w:bottom w:val="nil"/>
            </w:tcBorders>
          </w:tcPr>
          <w:p>
            <w:pPr>
              <w:spacing w:line="240" w:lineRule="exact"/>
              <w:rPr>
                <w:color w:val="auto"/>
              </w:rPr>
            </w:pPr>
          </w:p>
        </w:tc>
        <w:tc>
          <w:tcPr>
            <w:tcW w:w="1217" w:type="dxa"/>
            <w:vMerge w:val="continue"/>
            <w:tcBorders>
              <w:top w:val="nil"/>
            </w:tcBorders>
          </w:tcPr>
          <w:p>
            <w:pPr>
              <w:spacing w:line="240" w:lineRule="exact"/>
              <w:rPr>
                <w:color w:val="auto"/>
              </w:rPr>
            </w:pPr>
          </w:p>
        </w:tc>
        <w:tc>
          <w:tcPr>
            <w:tcW w:w="1217" w:type="dxa"/>
          </w:tcPr>
          <w:p>
            <w:pPr>
              <w:pStyle w:val="8"/>
              <w:spacing w:before="0" w:line="240" w:lineRule="exact"/>
              <w:ind w:left="18" w:right="53" w:hanging="5"/>
              <w:rPr>
                <w:color w:val="auto"/>
                <w:lang w:eastAsia="zh-CN"/>
              </w:rPr>
            </w:pPr>
            <w:r>
              <w:rPr>
                <w:rFonts w:ascii="Times New Roman" w:hAnsi="Times New Roman" w:eastAsia="Times New Roman" w:cs="Times New Roman"/>
                <w:color w:val="auto"/>
                <w:spacing w:val="7"/>
                <w:lang w:eastAsia="zh-CN"/>
              </w:rPr>
              <w:t>2.</w:t>
            </w:r>
            <w:r>
              <w:rPr>
                <w:color w:val="auto"/>
                <w:spacing w:val="7"/>
                <w:lang w:eastAsia="zh-CN"/>
              </w:rPr>
              <w:t>手术患者术</w:t>
            </w:r>
            <w:r>
              <w:rPr>
                <w:color w:val="auto"/>
                <w:spacing w:val="3"/>
                <w:lang w:eastAsia="zh-CN"/>
              </w:rPr>
              <w:t>后</w:t>
            </w:r>
            <w:r>
              <w:rPr>
                <w:rFonts w:ascii="Times New Roman" w:hAnsi="Times New Roman" w:eastAsia="Times New Roman" w:cs="Times New Roman"/>
                <w:color w:val="auto"/>
                <w:spacing w:val="3"/>
                <w:lang w:eastAsia="zh-CN"/>
              </w:rPr>
              <w:t>31</w:t>
            </w:r>
            <w:r>
              <w:rPr>
                <w:color w:val="auto"/>
                <w:spacing w:val="3"/>
                <w:lang w:eastAsia="zh-CN"/>
              </w:rPr>
              <w:t>天内非</w:t>
            </w:r>
            <w:r>
              <w:rPr>
                <w:color w:val="auto"/>
                <w:spacing w:val="7"/>
                <w:lang w:eastAsia="zh-CN"/>
              </w:rPr>
              <w:t>预期重返手术室再次手</w:t>
            </w:r>
            <w:r>
              <w:rPr>
                <w:color w:val="auto"/>
                <w:spacing w:val="4"/>
                <w:lang w:eastAsia="zh-CN"/>
              </w:rPr>
              <w:t>术率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2" w:firstLine="6"/>
              <w:jc w:val="both"/>
              <w:rPr>
                <w:color w:val="auto"/>
                <w:lang w:eastAsia="zh-CN"/>
              </w:rPr>
            </w:pPr>
            <w:r>
              <w:rPr>
                <w:color w:val="auto"/>
                <w:spacing w:val="7"/>
                <w:lang w:eastAsia="zh-CN"/>
              </w:rPr>
              <w:t>手术患者手术后</w:t>
            </w:r>
            <w:r>
              <w:rPr>
                <w:rFonts w:ascii="Times New Roman" w:hAnsi="Times New Roman" w:eastAsia="Times New Roman" w:cs="Times New Roman"/>
                <w:color w:val="auto"/>
                <w:spacing w:val="7"/>
                <w:lang w:eastAsia="zh-CN"/>
              </w:rPr>
              <w:t>31</w:t>
            </w:r>
            <w:r>
              <w:rPr>
                <w:color w:val="auto"/>
                <w:spacing w:val="7"/>
                <w:lang w:eastAsia="zh-CN"/>
              </w:rPr>
              <w:t>天内因各种原因导致患</w:t>
            </w:r>
            <w:r>
              <w:rPr>
                <w:color w:val="auto"/>
                <w:spacing w:val="13"/>
                <w:lang w:eastAsia="zh-CN"/>
              </w:rPr>
              <w:t>者需进行的计划外再次手术占同期出院患</w:t>
            </w:r>
            <w:r>
              <w:rPr>
                <w:color w:val="auto"/>
                <w:spacing w:val="7"/>
                <w:lang w:eastAsia="zh-CN"/>
              </w:rPr>
              <w:t>者手术例数的比例。</w:t>
            </w:r>
          </w:p>
        </w:tc>
        <w:tc>
          <w:tcPr>
            <w:tcW w:w="2977" w:type="dxa"/>
          </w:tcPr>
          <w:p>
            <w:pPr>
              <w:pStyle w:val="8"/>
              <w:spacing w:before="0" w:line="240" w:lineRule="exact"/>
              <w:ind w:left="23" w:right="11" w:hanging="6"/>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4"/>
                <w:lang w:eastAsia="zh-CN"/>
              </w:rPr>
              <w:t>=</w:t>
            </w:r>
            <w:r>
              <w:rPr>
                <w:color w:val="auto"/>
                <w:spacing w:val="14"/>
                <w:lang w:eastAsia="zh-CN"/>
              </w:rPr>
              <w:t>手术患者术后</w:t>
            </w:r>
            <w:r>
              <w:rPr>
                <w:rFonts w:ascii="Times New Roman" w:hAnsi="Times New Roman" w:eastAsia="Times New Roman" w:cs="Times New Roman"/>
                <w:color w:val="auto"/>
                <w:spacing w:val="14"/>
                <w:lang w:eastAsia="zh-CN"/>
              </w:rPr>
              <w:t>31</w:t>
            </w:r>
            <w:r>
              <w:rPr>
                <w:color w:val="auto"/>
                <w:spacing w:val="14"/>
                <w:lang w:eastAsia="zh-CN"/>
              </w:rPr>
              <w:t>天内非预期重返手术室再次手术例数</w:t>
            </w:r>
            <w:r>
              <w:rPr>
                <w:rFonts w:ascii="Times New Roman" w:hAnsi="Times New Roman" w:eastAsia="Times New Roman" w:cs="Times New Roman"/>
                <w:color w:val="auto"/>
                <w:spacing w:val="14"/>
                <w:lang w:eastAsia="zh-CN"/>
              </w:rPr>
              <w:t>/</w:t>
            </w:r>
            <w:r>
              <w:rPr>
                <w:color w:val="auto"/>
                <w:spacing w:val="14"/>
                <w:lang w:eastAsia="zh-CN"/>
              </w:rPr>
              <w:t>同期出院</w:t>
            </w:r>
            <w:r>
              <w:rPr>
                <w:color w:val="auto"/>
                <w:spacing w:val="4"/>
                <w:lang w:eastAsia="zh-CN"/>
              </w:rPr>
              <w:t>患者手术例数</w:t>
            </w:r>
            <w:r>
              <w:rPr>
                <w:rFonts w:ascii="Times New Roman" w:hAnsi="Times New Roman" w:eastAsia="Times New Roman" w:cs="Times New Roman"/>
                <w:color w:val="auto"/>
                <w:spacing w:val="4"/>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054" w:type="dxa"/>
            <w:vMerge w:val="continue"/>
            <w:tcBorders>
              <w:top w:val="nil"/>
            </w:tcBorders>
          </w:tcPr>
          <w:p>
            <w:pPr>
              <w:spacing w:line="240" w:lineRule="exact"/>
              <w:rPr>
                <w:color w:val="auto"/>
              </w:rPr>
            </w:pPr>
          </w:p>
        </w:tc>
        <w:tc>
          <w:tcPr>
            <w:tcW w:w="2434" w:type="dxa"/>
            <w:gridSpan w:val="2"/>
          </w:tcPr>
          <w:p>
            <w:pPr>
              <w:spacing w:line="240" w:lineRule="exact"/>
              <w:rPr>
                <w:color w:val="auto"/>
                <w:lang w:eastAsia="zh-CN"/>
              </w:rPr>
            </w:pPr>
          </w:p>
          <w:p>
            <w:pPr>
              <w:pStyle w:val="8"/>
              <w:spacing w:before="0" w:line="240" w:lineRule="exact"/>
              <w:ind w:left="21" w:right="12" w:hanging="7"/>
              <w:rPr>
                <w:color w:val="auto"/>
                <w:lang w:eastAsia="zh-CN"/>
              </w:rPr>
            </w:pPr>
            <w:r>
              <w:rPr>
                <w:color w:val="auto"/>
                <w:spacing w:val="11"/>
                <w:lang w:eastAsia="zh-CN"/>
              </w:rPr>
              <w:t>（六）</w:t>
            </w:r>
            <w:r>
              <w:rPr>
                <w:rFonts w:ascii="Times New Roman" w:hAnsi="Times New Roman" w:eastAsia="Times New Roman" w:cs="Times New Roman"/>
                <w:color w:val="auto"/>
                <w:lang w:eastAsia="zh-CN"/>
              </w:rPr>
              <w:t>ICD</w:t>
            </w:r>
            <w:r>
              <w:rPr>
                <w:color w:val="auto"/>
                <w:spacing w:val="11"/>
                <w:lang w:eastAsia="zh-CN"/>
              </w:rPr>
              <w:t>低风险病种患者</w:t>
            </w:r>
            <w:r>
              <w:rPr>
                <w:color w:val="auto"/>
                <w:spacing w:val="7"/>
                <w:lang w:eastAsia="zh-CN"/>
              </w:rPr>
              <w:t>住院死亡率</w:t>
            </w:r>
          </w:p>
        </w:tc>
        <w:tc>
          <w:tcPr>
            <w:tcW w:w="1751" w:type="dxa"/>
          </w:tcPr>
          <w:p>
            <w:pPr>
              <w:spacing w:line="240" w:lineRule="exact"/>
              <w:rPr>
                <w:color w:val="auto"/>
                <w:lang w:eastAsia="zh-CN"/>
              </w:rPr>
            </w:pPr>
          </w:p>
          <w:p>
            <w:pPr>
              <w:pStyle w:val="8"/>
              <w:spacing w:before="0" w:line="240" w:lineRule="exact"/>
              <w:ind w:left="17" w:right="13" w:firstLine="3"/>
              <w:rPr>
                <w:color w:val="auto"/>
                <w:lang w:eastAsia="zh-CN"/>
              </w:rPr>
            </w:pPr>
            <w:r>
              <w:rPr>
                <w:color w:val="auto"/>
                <w:lang w:eastAsia="zh-CN"/>
              </w:rPr>
              <w:t>定量指标，达标类指</w:t>
            </w:r>
            <w:r>
              <w:rPr>
                <w:color w:val="auto"/>
                <w:spacing w:val="7"/>
                <w:lang w:eastAsia="zh-CN"/>
              </w:rPr>
              <w:t>标，必填指标。</w:t>
            </w:r>
          </w:p>
        </w:tc>
        <w:tc>
          <w:tcPr>
            <w:tcW w:w="999"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firstLine="5"/>
              <w:jc w:val="both"/>
              <w:rPr>
                <w:color w:val="auto"/>
                <w:lang w:eastAsia="zh-CN"/>
              </w:rPr>
            </w:pPr>
            <w:r>
              <w:rPr>
                <w:color w:val="auto"/>
                <w:spacing w:val="8"/>
                <w:lang w:eastAsia="zh-CN"/>
              </w:rPr>
              <w:t>年度医院出院患者中低风险病种出现死亡</w:t>
            </w:r>
            <w:r>
              <w:rPr>
                <w:color w:val="auto"/>
                <w:spacing w:val="9"/>
                <w:lang w:eastAsia="zh-CN"/>
              </w:rPr>
              <w:t>数量占出院人次中低风险病种总人数的比</w:t>
            </w:r>
            <w:r>
              <w:rPr>
                <w:color w:val="auto"/>
                <w:spacing w:val="1"/>
                <w:lang w:eastAsia="zh-CN"/>
              </w:rPr>
              <w:t>例。</w:t>
            </w:r>
            <w:r>
              <w:rPr>
                <w:rFonts w:ascii="Times New Roman" w:hAnsi="Times New Roman" w:eastAsia="Times New Roman" w:cs="Times New Roman"/>
                <w:color w:val="auto"/>
                <w:spacing w:val="1"/>
                <w:lang w:eastAsia="zh-CN"/>
              </w:rPr>
              <w:t>115</w:t>
            </w:r>
            <w:r>
              <w:rPr>
                <w:color w:val="auto"/>
                <w:spacing w:val="1"/>
                <w:lang w:eastAsia="zh-CN"/>
              </w:rPr>
              <w:t>个低风险病种</w:t>
            </w: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w:t>
            </w:r>
            <w:r>
              <w:rPr>
                <w:rFonts w:ascii="Times New Roman" w:hAnsi="Times New Roman" w:eastAsia="Times New Roman" w:cs="Times New Roman"/>
                <w:color w:val="auto"/>
                <w:spacing w:val="1"/>
                <w:lang w:eastAsia="zh-CN"/>
              </w:rPr>
              <w:t>2019v2.0</w:t>
            </w:r>
            <w:r>
              <w:rPr>
                <w:color w:val="auto"/>
                <w:spacing w:val="1"/>
                <w:lang w:eastAsia="zh-CN"/>
              </w:rPr>
              <w:t>）</w:t>
            </w:r>
            <w:r>
              <w:rPr>
                <w:color w:val="auto"/>
                <w:spacing w:val="9"/>
                <w:lang w:eastAsia="zh-CN"/>
              </w:rPr>
              <w:t>编码见《国家卫生健康委三级医院评审标</w:t>
            </w:r>
            <w:r>
              <w:rPr>
                <w:color w:val="auto"/>
                <w:spacing w:val="5"/>
                <w:lang w:eastAsia="zh-CN"/>
              </w:rPr>
              <w:t>准（</w:t>
            </w:r>
            <w:r>
              <w:rPr>
                <w:rFonts w:ascii="Times New Roman" w:hAnsi="Times New Roman" w:eastAsia="Times New Roman" w:cs="Times New Roman"/>
                <w:color w:val="auto"/>
                <w:spacing w:val="5"/>
                <w:lang w:eastAsia="zh-CN"/>
              </w:rPr>
              <w:t>2022</w:t>
            </w:r>
            <w:r>
              <w:rPr>
                <w:color w:val="auto"/>
                <w:spacing w:val="5"/>
                <w:lang w:eastAsia="zh-CN"/>
              </w:rPr>
              <w:t>年版）》。</w:t>
            </w:r>
          </w:p>
        </w:tc>
        <w:tc>
          <w:tcPr>
            <w:tcW w:w="2977" w:type="dxa"/>
          </w:tcPr>
          <w:p>
            <w:pPr>
              <w:pStyle w:val="8"/>
              <w:spacing w:before="0" w:line="240" w:lineRule="exact"/>
              <w:ind w:left="22" w:right="11"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2"/>
                <w:lang w:eastAsia="zh-CN"/>
              </w:rPr>
              <w:t>=</w:t>
            </w:r>
            <w:r>
              <w:rPr>
                <w:rFonts w:ascii="Times New Roman" w:hAnsi="Times New Roman" w:eastAsia="Times New Roman" w:cs="Times New Roman"/>
                <w:color w:val="auto"/>
                <w:lang w:eastAsia="zh-CN"/>
              </w:rPr>
              <w:t>ICD</w:t>
            </w:r>
            <w:r>
              <w:rPr>
                <w:color w:val="auto"/>
                <w:spacing w:val="12"/>
                <w:lang w:eastAsia="zh-CN"/>
              </w:rPr>
              <w:t>低风险组病种住院患者死亡</w:t>
            </w:r>
            <w:r>
              <w:rPr>
                <w:color w:val="auto"/>
                <w:spacing w:val="16"/>
                <w:lang w:eastAsia="zh-CN"/>
              </w:rPr>
              <w:t>病例数</w:t>
            </w:r>
            <w:r>
              <w:rPr>
                <w:rFonts w:ascii="Times New Roman" w:hAnsi="Times New Roman" w:eastAsia="Times New Roman" w:cs="Times New Roman"/>
                <w:color w:val="auto"/>
                <w:spacing w:val="16"/>
                <w:lang w:eastAsia="zh-CN"/>
              </w:rPr>
              <w:t>/</w:t>
            </w:r>
            <w:r>
              <w:rPr>
                <w:rFonts w:ascii="Times New Roman" w:hAnsi="Times New Roman" w:eastAsia="Times New Roman" w:cs="Times New Roman"/>
                <w:color w:val="auto"/>
                <w:lang w:eastAsia="zh-CN"/>
              </w:rPr>
              <w:t>ICD</w:t>
            </w:r>
            <w:r>
              <w:rPr>
                <w:color w:val="auto"/>
                <w:spacing w:val="16"/>
                <w:lang w:eastAsia="zh-CN"/>
              </w:rPr>
              <w:t>低风险组病种出院患</w:t>
            </w:r>
            <w:r>
              <w:rPr>
                <w:color w:val="auto"/>
                <w:spacing w:val="4"/>
                <w:lang w:eastAsia="zh-CN"/>
              </w:rPr>
              <w:t>者病例总数</w:t>
            </w:r>
            <w:r>
              <w:rPr>
                <w:rFonts w:ascii="Times New Roman" w:hAnsi="Times New Roman" w:eastAsia="Times New Roman" w:cs="Times New Roman"/>
                <w:color w:val="auto"/>
                <w:spacing w:val="4"/>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054"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14" w:firstLine="16"/>
              <w:jc w:val="both"/>
              <w:rPr>
                <w:color w:val="auto"/>
                <w:lang w:eastAsia="zh-CN"/>
              </w:rPr>
            </w:pPr>
            <w:r>
              <w:rPr>
                <w:color w:val="auto"/>
                <w:spacing w:val="-1"/>
                <w:lang w:eastAsia="zh-CN"/>
              </w:rPr>
              <w:t>三、医疗安</w:t>
            </w:r>
            <w:r>
              <w:rPr>
                <w:color w:val="auto"/>
                <w:spacing w:val="12"/>
                <w:lang w:eastAsia="zh-CN"/>
              </w:rPr>
              <w:t>全指标（年度获得性指</w:t>
            </w:r>
            <w:r>
              <w:rPr>
                <w:color w:val="auto"/>
                <w:spacing w:val="3"/>
                <w:lang w:eastAsia="zh-CN"/>
              </w:rPr>
              <w:t>标）</w:t>
            </w:r>
          </w:p>
        </w:tc>
        <w:tc>
          <w:tcPr>
            <w:tcW w:w="2434" w:type="dxa"/>
            <w:gridSpan w:val="2"/>
          </w:tcPr>
          <w:p>
            <w:pPr>
              <w:pStyle w:val="8"/>
              <w:spacing w:before="0" w:line="240" w:lineRule="exact"/>
              <w:ind w:left="17" w:right="14" w:hanging="3"/>
              <w:rPr>
                <w:color w:val="auto"/>
                <w:lang w:eastAsia="zh-CN"/>
              </w:rPr>
            </w:pPr>
            <w:r>
              <w:rPr>
                <w:color w:val="auto"/>
                <w:spacing w:val="1"/>
                <w:lang w:eastAsia="zh-CN"/>
              </w:rPr>
              <w:t>（一）手术患者手术后肺栓</w:t>
            </w:r>
            <w:r>
              <w:rPr>
                <w:color w:val="auto"/>
                <w:spacing w:val="9"/>
                <w:lang w:eastAsia="zh-CN"/>
              </w:rPr>
              <w:t>塞发生例数和发生率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9" w:right="10" w:hanging="2"/>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0"/>
                <w:lang w:eastAsia="zh-CN"/>
              </w:rPr>
              <w:t>-10</w:t>
            </w:r>
            <w:r>
              <w:rPr>
                <w:color w:val="auto"/>
                <w:spacing w:val="10"/>
                <w:lang w:eastAsia="zh-CN"/>
              </w:rPr>
              <w:t>编码：</w:t>
            </w:r>
            <w:r>
              <w:rPr>
                <w:rFonts w:ascii="Times New Roman" w:hAnsi="Times New Roman" w:eastAsia="Times New Roman" w:cs="Times New Roman"/>
                <w:color w:val="auto"/>
                <w:spacing w:val="10"/>
                <w:lang w:eastAsia="zh-CN"/>
              </w:rPr>
              <w:t>I26</w:t>
            </w:r>
            <w:r>
              <w:rPr>
                <w:color w:val="auto"/>
                <w:spacing w:val="10"/>
                <w:lang w:eastAsia="zh-CN"/>
              </w:rPr>
              <w:t>的手术出院患者肺栓塞发生例数；以及手术患者手术后肺栓塞发</w:t>
            </w:r>
            <w:r>
              <w:rPr>
                <w:color w:val="auto"/>
                <w:spacing w:val="8"/>
                <w:lang w:eastAsia="zh-CN"/>
              </w:rPr>
              <w:t>生例数占同期手术患者出院人次的比例。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手术患者手术后肺栓塞发生率</w:t>
            </w:r>
            <w:r>
              <w:rPr>
                <w:rFonts w:ascii="Times New Roman" w:hAnsi="Times New Roman" w:eastAsia="Times New Roman" w:cs="Times New Roman"/>
                <w:color w:val="auto"/>
                <w:spacing w:val="10"/>
                <w:lang w:eastAsia="zh-CN"/>
              </w:rPr>
              <w:t>=</w:t>
            </w:r>
            <w:r>
              <w:rPr>
                <w:color w:val="auto"/>
                <w:spacing w:val="10"/>
                <w:lang w:eastAsia="zh-CN"/>
              </w:rPr>
              <w:t>手</w:t>
            </w:r>
            <w:r>
              <w:rPr>
                <w:color w:val="auto"/>
                <w:spacing w:val="14"/>
                <w:lang w:eastAsia="zh-CN"/>
              </w:rPr>
              <w:t>术患者手术后肺栓塞发生例数</w:t>
            </w:r>
            <w:r>
              <w:rPr>
                <w:rFonts w:ascii="Times New Roman" w:hAnsi="Times New Roman" w:eastAsia="Times New Roman" w:cs="Times New Roman"/>
                <w:color w:val="auto"/>
                <w:spacing w:val="14"/>
                <w:lang w:eastAsia="zh-CN"/>
              </w:rPr>
              <w:t>/</w:t>
            </w:r>
            <w:r>
              <w:rPr>
                <w:color w:val="auto"/>
                <w:spacing w:val="14"/>
                <w:lang w:eastAsia="zh-CN"/>
              </w:rPr>
              <w:t>同</w:t>
            </w:r>
            <w:r>
              <w:rPr>
                <w:color w:val="auto"/>
                <w:spacing w:val="6"/>
                <w:lang w:eastAsia="zh-CN"/>
              </w:rPr>
              <w:t>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054" w:type="dxa"/>
            <w:vMerge w:val="continue"/>
            <w:tcBorders>
              <w:top w:val="nil"/>
              <w:bottom w:val="nil"/>
            </w:tcBorders>
          </w:tcPr>
          <w:p>
            <w:pPr>
              <w:spacing w:line="240" w:lineRule="exact"/>
              <w:rPr>
                <w:color w:val="auto"/>
              </w:rPr>
            </w:pPr>
          </w:p>
        </w:tc>
        <w:tc>
          <w:tcPr>
            <w:tcW w:w="2434" w:type="dxa"/>
            <w:gridSpan w:val="2"/>
          </w:tcPr>
          <w:p>
            <w:pPr>
              <w:spacing w:line="240" w:lineRule="exact"/>
              <w:rPr>
                <w:color w:val="auto"/>
                <w:lang w:eastAsia="zh-CN"/>
              </w:rPr>
            </w:pPr>
          </w:p>
          <w:p>
            <w:pPr>
              <w:pStyle w:val="8"/>
              <w:spacing w:before="0" w:line="240" w:lineRule="exact"/>
              <w:ind w:left="15" w:right="14" w:hanging="1"/>
              <w:rPr>
                <w:color w:val="auto"/>
                <w:lang w:eastAsia="zh-CN"/>
              </w:rPr>
            </w:pPr>
            <w:r>
              <w:rPr>
                <w:color w:val="auto"/>
                <w:spacing w:val="1"/>
                <w:lang w:eastAsia="zh-CN"/>
              </w:rPr>
              <w:t>（二）手术患者手术后深静</w:t>
            </w:r>
            <w:r>
              <w:rPr>
                <w:color w:val="auto"/>
                <w:spacing w:val="9"/>
                <w:lang w:eastAsia="zh-CN"/>
              </w:rPr>
              <w:t>脉血栓发生例数和发生率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7"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2"/>
                <w:lang w:eastAsia="zh-CN"/>
              </w:rPr>
              <w:t>-10</w:t>
            </w:r>
            <w:r>
              <w:rPr>
                <w:color w:val="auto"/>
                <w:spacing w:val="2"/>
                <w:lang w:eastAsia="zh-CN"/>
              </w:rPr>
              <w:t>编码：</w:t>
            </w:r>
            <w:r>
              <w:rPr>
                <w:rFonts w:ascii="Times New Roman" w:hAnsi="Times New Roman" w:eastAsia="Times New Roman" w:cs="Times New Roman"/>
                <w:color w:val="auto"/>
                <w:spacing w:val="2"/>
                <w:lang w:eastAsia="zh-CN"/>
              </w:rPr>
              <w:t>I80.2</w:t>
            </w:r>
            <w:r>
              <w:rPr>
                <w:color w:val="auto"/>
                <w:spacing w:val="2"/>
                <w:lang w:eastAsia="zh-CN"/>
              </w:rPr>
              <w:t>，</w:t>
            </w:r>
            <w:r>
              <w:rPr>
                <w:rFonts w:ascii="Times New Roman" w:hAnsi="Times New Roman" w:eastAsia="Times New Roman" w:cs="Times New Roman"/>
                <w:color w:val="auto"/>
                <w:spacing w:val="2"/>
                <w:lang w:eastAsia="zh-CN"/>
              </w:rPr>
              <w:t>I82.8</w:t>
            </w:r>
            <w:r>
              <w:rPr>
                <w:color w:val="auto"/>
                <w:spacing w:val="2"/>
                <w:lang w:eastAsia="zh-CN"/>
              </w:rPr>
              <w:t>的手术患者手术</w:t>
            </w:r>
            <w:r>
              <w:rPr>
                <w:color w:val="auto"/>
                <w:spacing w:val="10"/>
                <w:lang w:eastAsia="zh-CN"/>
              </w:rPr>
              <w:t>后深静脉血栓发生例数；以及手术患者手</w:t>
            </w:r>
            <w:r>
              <w:rPr>
                <w:color w:val="auto"/>
                <w:spacing w:val="13"/>
                <w:lang w:eastAsia="zh-CN"/>
              </w:rPr>
              <w:t>术后深静脉血栓患者发生例数占同期手术</w:t>
            </w:r>
            <w:r>
              <w:rPr>
                <w:color w:val="auto"/>
                <w:spacing w:val="8"/>
                <w:lang w:eastAsia="zh-CN"/>
              </w:rPr>
              <w:t>患者出院人次的比例。</w:t>
            </w:r>
          </w:p>
        </w:tc>
        <w:tc>
          <w:tcPr>
            <w:tcW w:w="2977" w:type="dxa"/>
          </w:tcPr>
          <w:p>
            <w:pPr>
              <w:pStyle w:val="8"/>
              <w:spacing w:before="0" w:line="240" w:lineRule="exact"/>
              <w:ind w:left="27" w:right="11" w:firstLine="2"/>
              <w:jc w:val="both"/>
              <w:rPr>
                <w:rFonts w:ascii="Times New Roman" w:hAnsi="Times New Roman" w:eastAsia="Times New Roman" w:cs="Times New Roman"/>
                <w:color w:val="auto"/>
                <w:lang w:eastAsia="zh-CN"/>
              </w:rPr>
            </w:pPr>
            <w:r>
              <w:rPr>
                <w:color w:val="auto"/>
                <w:spacing w:val="19"/>
                <w:lang w:eastAsia="zh-CN"/>
              </w:rPr>
              <w:t>手术患者手术后深静脉血栓发生</w:t>
            </w:r>
            <w:r>
              <w:rPr>
                <w:color w:val="auto"/>
                <w:spacing w:val="11"/>
                <w:lang w:eastAsia="zh-CN"/>
              </w:rPr>
              <w:t>率</w:t>
            </w:r>
            <w:r>
              <w:rPr>
                <w:rFonts w:ascii="Times New Roman" w:hAnsi="Times New Roman" w:eastAsia="Times New Roman" w:cs="Times New Roman"/>
                <w:color w:val="auto"/>
                <w:spacing w:val="11"/>
                <w:lang w:eastAsia="zh-CN"/>
              </w:rPr>
              <w:t>=</w:t>
            </w:r>
            <w:r>
              <w:rPr>
                <w:color w:val="auto"/>
                <w:spacing w:val="11"/>
                <w:lang w:eastAsia="zh-CN"/>
              </w:rPr>
              <w:t>手术患者手术后深静脉血栓发</w:t>
            </w:r>
            <w:r>
              <w:rPr>
                <w:color w:val="auto"/>
                <w:spacing w:val="29"/>
                <w:lang w:eastAsia="zh-CN"/>
              </w:rPr>
              <w:t>生例数</w:t>
            </w:r>
            <w:r>
              <w:rPr>
                <w:rFonts w:ascii="Times New Roman" w:hAnsi="Times New Roman" w:eastAsia="Times New Roman" w:cs="Times New Roman"/>
                <w:color w:val="auto"/>
                <w:spacing w:val="29"/>
                <w:lang w:eastAsia="zh-CN"/>
              </w:rPr>
              <w:t>/</w:t>
            </w:r>
            <w:r>
              <w:rPr>
                <w:color w:val="auto"/>
                <w:spacing w:val="29"/>
                <w:lang w:eastAsia="zh-CN"/>
              </w:rPr>
              <w:t>同期手术患者出院人次</w:t>
            </w:r>
            <w:r>
              <w:rPr>
                <w:rFonts w:ascii="Times New Roman" w:hAnsi="Times New Roman" w:eastAsia="Times New Roman" w:cs="Times New Roman"/>
                <w:color w:val="auto"/>
                <w:spacing w:val="-2"/>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054" w:type="dxa"/>
            <w:vMerge w:val="continue"/>
            <w:tcBorders>
              <w:top w:val="nil"/>
              <w:bottom w:val="nil"/>
            </w:tcBorders>
          </w:tcPr>
          <w:p>
            <w:pPr>
              <w:spacing w:line="240" w:lineRule="exact"/>
              <w:rPr>
                <w:color w:val="auto"/>
              </w:rPr>
            </w:pPr>
          </w:p>
        </w:tc>
        <w:tc>
          <w:tcPr>
            <w:tcW w:w="2434" w:type="dxa"/>
            <w:gridSpan w:val="2"/>
          </w:tcPr>
          <w:p>
            <w:pPr>
              <w:pStyle w:val="8"/>
              <w:spacing w:before="0" w:line="240" w:lineRule="exact"/>
              <w:ind w:left="17" w:right="14" w:hanging="3"/>
              <w:rPr>
                <w:color w:val="auto"/>
                <w:lang w:eastAsia="zh-CN"/>
              </w:rPr>
            </w:pPr>
            <w:r>
              <w:rPr>
                <w:color w:val="auto"/>
                <w:spacing w:val="10"/>
                <w:lang w:eastAsia="zh-CN"/>
              </w:rPr>
              <w:t>（三）手术患者手术后脓毒</w:t>
            </w:r>
            <w:r>
              <w:rPr>
                <w:color w:val="auto"/>
                <w:spacing w:val="9"/>
                <w:lang w:eastAsia="zh-CN"/>
              </w:rPr>
              <w:t>症发生例数和发生率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3" w:right="10" w:firstLine="3"/>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5"/>
                <w:lang w:eastAsia="zh-CN"/>
              </w:rPr>
              <w:t>-10</w:t>
            </w:r>
            <w:r>
              <w:rPr>
                <w:color w:val="auto"/>
                <w:spacing w:val="5"/>
                <w:lang w:eastAsia="zh-CN"/>
              </w:rPr>
              <w:t>编码：</w:t>
            </w:r>
            <w:r>
              <w:rPr>
                <w:rFonts w:ascii="Times New Roman" w:hAnsi="Times New Roman" w:eastAsia="Times New Roman" w:cs="Times New Roman"/>
                <w:color w:val="auto"/>
                <w:spacing w:val="5"/>
                <w:lang w:eastAsia="zh-CN"/>
              </w:rPr>
              <w:t>A40.0</w:t>
            </w:r>
            <w:r>
              <w:rPr>
                <w:color w:val="auto"/>
                <w:spacing w:val="5"/>
                <w:lang w:eastAsia="zh-CN"/>
              </w:rPr>
              <w:t>至</w:t>
            </w:r>
            <w:r>
              <w:rPr>
                <w:rFonts w:ascii="Times New Roman" w:hAnsi="Times New Roman" w:eastAsia="Times New Roman" w:cs="Times New Roman"/>
                <w:color w:val="auto"/>
                <w:spacing w:val="5"/>
                <w:lang w:eastAsia="zh-CN"/>
              </w:rPr>
              <w:t>A40.9</w:t>
            </w:r>
            <w:r>
              <w:rPr>
                <w:color w:val="auto"/>
                <w:spacing w:val="5"/>
                <w:lang w:eastAsia="zh-CN"/>
              </w:rPr>
              <w:t>，</w:t>
            </w:r>
            <w:r>
              <w:rPr>
                <w:rFonts w:ascii="Times New Roman" w:hAnsi="Times New Roman" w:eastAsia="Times New Roman" w:cs="Times New Roman"/>
                <w:color w:val="auto"/>
                <w:spacing w:val="5"/>
                <w:lang w:eastAsia="zh-CN"/>
              </w:rPr>
              <w:t>A41.0</w:t>
            </w:r>
            <w:r>
              <w:rPr>
                <w:color w:val="auto"/>
                <w:spacing w:val="5"/>
                <w:lang w:eastAsia="zh-CN"/>
              </w:rPr>
              <w:t>至</w:t>
            </w:r>
            <w:r>
              <w:rPr>
                <w:rFonts w:ascii="Times New Roman" w:hAnsi="Times New Roman" w:eastAsia="Times New Roman" w:cs="Times New Roman"/>
                <w:color w:val="auto"/>
                <w:spacing w:val="6"/>
                <w:lang w:eastAsia="zh-CN"/>
              </w:rPr>
              <w:t>A41.9</w:t>
            </w:r>
            <w:r>
              <w:rPr>
                <w:color w:val="auto"/>
                <w:spacing w:val="6"/>
                <w:lang w:eastAsia="zh-CN"/>
              </w:rPr>
              <w:t>，</w:t>
            </w:r>
            <w:r>
              <w:rPr>
                <w:rFonts w:ascii="Times New Roman" w:hAnsi="Times New Roman" w:eastAsia="Times New Roman" w:cs="Times New Roman"/>
                <w:color w:val="auto"/>
                <w:spacing w:val="6"/>
                <w:lang w:eastAsia="zh-CN"/>
              </w:rPr>
              <w:t>T81.411</w:t>
            </w:r>
            <w:r>
              <w:rPr>
                <w:color w:val="auto"/>
                <w:spacing w:val="6"/>
                <w:lang w:eastAsia="zh-CN"/>
              </w:rPr>
              <w:t>，</w:t>
            </w:r>
            <w:r>
              <w:rPr>
                <w:rFonts w:ascii="Times New Roman" w:hAnsi="Times New Roman" w:eastAsia="Times New Roman" w:cs="Times New Roman"/>
                <w:color w:val="auto"/>
                <w:spacing w:val="6"/>
                <w:lang w:eastAsia="zh-CN"/>
              </w:rPr>
              <w:t>B37.700</w:t>
            </w:r>
            <w:r>
              <w:rPr>
                <w:color w:val="auto"/>
                <w:spacing w:val="6"/>
                <w:lang w:eastAsia="zh-CN"/>
              </w:rPr>
              <w:t>，</w:t>
            </w:r>
            <w:r>
              <w:rPr>
                <w:rFonts w:ascii="Times New Roman" w:hAnsi="Times New Roman" w:eastAsia="Times New Roman" w:cs="Times New Roman"/>
                <w:color w:val="auto"/>
                <w:spacing w:val="6"/>
                <w:lang w:eastAsia="zh-CN"/>
              </w:rPr>
              <w:t>B49.x00x019</w:t>
            </w:r>
            <w:r>
              <w:rPr>
                <w:color w:val="auto"/>
                <w:spacing w:val="10"/>
                <w:lang w:eastAsia="zh-CN"/>
              </w:rPr>
              <w:t>的手术患者手术后脓毒症发生例数；以及</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手术患者手术后脓毒症发生率</w:t>
            </w:r>
            <w:r>
              <w:rPr>
                <w:rFonts w:ascii="Times New Roman" w:hAnsi="Times New Roman" w:eastAsia="Times New Roman" w:cs="Times New Roman"/>
                <w:color w:val="auto"/>
                <w:spacing w:val="10"/>
                <w:lang w:eastAsia="zh-CN"/>
              </w:rPr>
              <w:t>=</w:t>
            </w:r>
            <w:r>
              <w:rPr>
                <w:color w:val="auto"/>
                <w:spacing w:val="10"/>
                <w:lang w:eastAsia="zh-CN"/>
              </w:rPr>
              <w:t>手</w:t>
            </w:r>
            <w:r>
              <w:rPr>
                <w:color w:val="auto"/>
                <w:spacing w:val="14"/>
                <w:lang w:eastAsia="zh-CN"/>
              </w:rPr>
              <w:t>术患者手术后脓毒症发生例数</w:t>
            </w:r>
            <w:r>
              <w:rPr>
                <w:rFonts w:ascii="Times New Roman" w:hAnsi="Times New Roman" w:eastAsia="Times New Roman" w:cs="Times New Roman"/>
                <w:color w:val="auto"/>
                <w:spacing w:val="14"/>
                <w:lang w:eastAsia="zh-CN"/>
              </w:rPr>
              <w:t>/</w:t>
            </w:r>
            <w:r>
              <w:rPr>
                <w:color w:val="auto"/>
                <w:spacing w:val="14"/>
                <w:lang w:eastAsia="zh-CN"/>
              </w:rPr>
              <w:t>同</w:t>
            </w:r>
            <w:r>
              <w:rPr>
                <w:color w:val="auto"/>
                <w:spacing w:val="6"/>
                <w:lang w:eastAsia="zh-CN"/>
              </w:rPr>
              <w:t>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bl>
    <w:p>
      <w:pPr>
        <w:spacing w:line="20" w:lineRule="exact"/>
        <w:rPr>
          <w:color w:val="auto"/>
          <w:sz w:val="17"/>
        </w:rPr>
      </w:pPr>
    </w:p>
    <w:p>
      <w:pPr>
        <w:spacing w:line="20" w:lineRule="exact"/>
        <w:rPr>
          <w:color w:val="auto"/>
          <w:sz w:val="17"/>
          <w:szCs w:val="17"/>
        </w:rPr>
        <w:sectPr>
          <w:footerReference r:id="rId22" w:type="default"/>
          <w:pgSz w:w="16839" w:h="11906"/>
          <w:pgMar w:top="1012" w:right="126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434"/>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4" w:type="dxa"/>
          </w:tcPr>
          <w:p>
            <w:pPr>
              <w:spacing w:before="164" w:line="230" w:lineRule="auto"/>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tcPr>
          <w:p>
            <w:pPr>
              <w:spacing w:before="163" w:line="232" w:lineRule="auto"/>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163" w:line="231" w:lineRule="auto"/>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163" w:line="231" w:lineRule="auto"/>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163" w:line="232" w:lineRule="auto"/>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163" w:line="230" w:lineRule="auto"/>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163" w:line="231" w:lineRule="auto"/>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54" w:type="dxa"/>
            <w:vMerge w:val="restart"/>
            <w:tcBorders>
              <w:bottom w:val="nil"/>
            </w:tcBorders>
          </w:tcPr>
          <w:p>
            <w:pPr>
              <w:spacing w:line="240" w:lineRule="exact"/>
              <w:rPr>
                <w:color w:val="auto"/>
              </w:rPr>
            </w:pPr>
          </w:p>
        </w:tc>
        <w:tc>
          <w:tcPr>
            <w:tcW w:w="2434" w:type="dxa"/>
          </w:tcPr>
          <w:p>
            <w:pPr>
              <w:spacing w:line="240" w:lineRule="exact"/>
              <w:rPr>
                <w:color w:val="auto"/>
              </w:rPr>
            </w:pPr>
          </w:p>
        </w:tc>
        <w:tc>
          <w:tcPr>
            <w:tcW w:w="1751" w:type="dxa"/>
          </w:tcPr>
          <w:p>
            <w:pPr>
              <w:spacing w:line="240" w:lineRule="exact"/>
              <w:rPr>
                <w:color w:val="auto"/>
              </w:rPr>
            </w:pPr>
          </w:p>
        </w:tc>
        <w:tc>
          <w:tcPr>
            <w:tcW w:w="999" w:type="dxa"/>
          </w:tcPr>
          <w:p>
            <w:pPr>
              <w:spacing w:line="240" w:lineRule="exact"/>
              <w:rPr>
                <w:color w:val="auto"/>
              </w:rPr>
            </w:pPr>
          </w:p>
        </w:tc>
        <w:tc>
          <w:tcPr>
            <w:tcW w:w="3704" w:type="dxa"/>
          </w:tcPr>
          <w:p>
            <w:pPr>
              <w:pStyle w:val="8"/>
              <w:spacing w:before="0" w:line="240" w:lineRule="exact"/>
              <w:ind w:left="21" w:right="12" w:firstLine="6"/>
              <w:rPr>
                <w:color w:val="auto"/>
                <w:lang w:eastAsia="zh-CN"/>
              </w:rPr>
            </w:pPr>
            <w:r>
              <w:rPr>
                <w:color w:val="auto"/>
                <w:spacing w:val="13"/>
                <w:lang w:eastAsia="zh-CN"/>
              </w:rPr>
              <w:t>手术患者手术后脓毒症发生例数占同期手</w:t>
            </w:r>
            <w:r>
              <w:rPr>
                <w:color w:val="auto"/>
                <w:spacing w:val="8"/>
                <w:lang w:eastAsia="zh-CN"/>
              </w:rPr>
              <w:t>术患者出院人次的比例。</w:t>
            </w:r>
          </w:p>
        </w:tc>
        <w:tc>
          <w:tcPr>
            <w:tcW w:w="2977" w:type="dxa"/>
          </w:tcPr>
          <w:p>
            <w:pPr>
              <w:spacing w:line="240" w:lineRule="exact"/>
              <w:rPr>
                <w:color w:val="auto"/>
                <w:lang w:eastAsia="zh-CN"/>
              </w:rPr>
            </w:pPr>
          </w:p>
        </w:tc>
        <w:tc>
          <w:tcPr>
            <w:tcW w:w="1142"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054" w:type="dxa"/>
            <w:vMerge w:val="continue"/>
            <w:tcBorders>
              <w:top w:val="nil"/>
              <w:bottom w:val="nil"/>
            </w:tcBorders>
          </w:tcPr>
          <w:p>
            <w:pPr>
              <w:spacing w:line="240" w:lineRule="exact"/>
              <w:rPr>
                <w:color w:val="auto"/>
                <w:lang w:eastAsia="zh-CN"/>
              </w:rPr>
            </w:pPr>
          </w:p>
        </w:tc>
        <w:tc>
          <w:tcPr>
            <w:tcW w:w="2434" w:type="dxa"/>
          </w:tcPr>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10"/>
                <w:lang w:eastAsia="zh-CN"/>
              </w:rPr>
              <w:t>（四）手术患者手术后出血</w:t>
            </w:r>
            <w:r>
              <w:rPr>
                <w:color w:val="auto"/>
                <w:spacing w:val="9"/>
                <w:lang w:eastAsia="zh-CN"/>
              </w:rPr>
              <w:t>或血肿发生例数和发生率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0"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9"/>
                <w:lang w:eastAsia="zh-CN"/>
              </w:rPr>
              <w:t>-10</w:t>
            </w:r>
            <w:r>
              <w:rPr>
                <w:color w:val="auto"/>
                <w:spacing w:val="9"/>
                <w:lang w:eastAsia="zh-CN"/>
              </w:rPr>
              <w:t>编码：</w:t>
            </w:r>
            <w:r>
              <w:rPr>
                <w:rFonts w:ascii="Times New Roman" w:hAnsi="Times New Roman" w:eastAsia="Times New Roman" w:cs="Times New Roman"/>
                <w:color w:val="auto"/>
                <w:spacing w:val="9"/>
                <w:lang w:eastAsia="zh-CN"/>
              </w:rPr>
              <w:t>T81.0</w:t>
            </w:r>
            <w:r>
              <w:rPr>
                <w:color w:val="auto"/>
                <w:spacing w:val="9"/>
                <w:lang w:eastAsia="zh-CN"/>
              </w:rPr>
              <w:t>的手术出院患者手术</w:t>
            </w:r>
            <w:r>
              <w:rPr>
                <w:color w:val="auto"/>
                <w:spacing w:val="10"/>
                <w:lang w:eastAsia="zh-CN"/>
              </w:rPr>
              <w:t>后出血或血肿发生例数；以及手术患者手</w:t>
            </w:r>
            <w:r>
              <w:rPr>
                <w:color w:val="auto"/>
                <w:spacing w:val="13"/>
                <w:lang w:eastAsia="zh-CN"/>
              </w:rPr>
              <w:t>术后出血或血肿发生例数占同期手术患者</w:t>
            </w:r>
            <w:r>
              <w:rPr>
                <w:color w:val="auto"/>
                <w:spacing w:val="7"/>
                <w:lang w:eastAsia="zh-CN"/>
              </w:rPr>
              <w:t>出院人次的比例。</w:t>
            </w:r>
          </w:p>
        </w:tc>
        <w:tc>
          <w:tcPr>
            <w:tcW w:w="2977" w:type="dxa"/>
          </w:tcPr>
          <w:p>
            <w:pPr>
              <w:pStyle w:val="8"/>
              <w:spacing w:before="0" w:line="240" w:lineRule="exact"/>
              <w:ind w:left="18" w:right="11" w:firstLine="11"/>
              <w:jc w:val="both"/>
              <w:rPr>
                <w:rFonts w:ascii="Times New Roman" w:hAnsi="Times New Roman" w:eastAsia="Times New Roman" w:cs="Times New Roman"/>
                <w:color w:val="auto"/>
                <w:lang w:eastAsia="zh-CN"/>
              </w:rPr>
            </w:pPr>
            <w:r>
              <w:rPr>
                <w:color w:val="auto"/>
                <w:spacing w:val="10"/>
                <w:lang w:eastAsia="zh-CN"/>
              </w:rPr>
              <w:t>手术患者术后出血或血肿发生率</w:t>
            </w:r>
            <w:r>
              <w:rPr>
                <w:rFonts w:ascii="Times New Roman" w:hAnsi="Times New Roman" w:eastAsia="Times New Roman" w:cs="Times New Roman"/>
                <w:color w:val="auto"/>
                <w:spacing w:val="10"/>
                <w:lang w:eastAsia="zh-CN"/>
              </w:rPr>
              <w:t>=</w:t>
            </w:r>
            <w:r>
              <w:rPr>
                <w:color w:val="auto"/>
                <w:spacing w:val="20"/>
                <w:lang w:eastAsia="zh-CN"/>
              </w:rPr>
              <w:t>手术患者手术后出血或血肿发生</w:t>
            </w:r>
            <w:r>
              <w:rPr>
                <w:color w:val="auto"/>
                <w:spacing w:val="-7"/>
                <w:lang w:eastAsia="zh-CN"/>
              </w:rPr>
              <w:t>例数</w:t>
            </w:r>
            <w:r>
              <w:rPr>
                <w:rFonts w:ascii="Times New Roman" w:hAnsi="Times New Roman" w:eastAsia="Times New Roman" w:cs="Times New Roman"/>
                <w:color w:val="auto"/>
                <w:spacing w:val="-7"/>
                <w:lang w:eastAsia="zh-CN"/>
              </w:rPr>
              <w:t>/</w:t>
            </w:r>
            <w:r>
              <w:rPr>
                <w:color w:val="auto"/>
                <w:spacing w:val="-7"/>
                <w:lang w:eastAsia="zh-CN"/>
              </w:rPr>
              <w:t>同期手术患者出院人次</w:t>
            </w:r>
            <w:r>
              <w:rPr>
                <w:rFonts w:ascii="Times New Roman" w:hAnsi="Times New Roman" w:eastAsia="Times New Roman" w:cs="Times New Roman"/>
                <w:color w:val="auto"/>
                <w:spacing w:val="-1"/>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23" w:right="14" w:hanging="9"/>
              <w:rPr>
                <w:color w:val="auto"/>
                <w:lang w:eastAsia="zh-CN"/>
              </w:rPr>
            </w:pPr>
            <w:r>
              <w:rPr>
                <w:color w:val="auto"/>
                <w:spacing w:val="10"/>
                <w:lang w:eastAsia="zh-CN"/>
              </w:rPr>
              <w:t>（五）手术患者手术伤口裂</w:t>
            </w:r>
            <w:r>
              <w:rPr>
                <w:color w:val="auto"/>
                <w:spacing w:val="8"/>
                <w:lang w:eastAsia="zh-CN"/>
              </w:rPr>
              <w:t>开发生例数和发生率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right="10"/>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9"/>
                <w:lang w:eastAsia="zh-CN"/>
              </w:rPr>
              <w:t>-10</w:t>
            </w:r>
            <w:r>
              <w:rPr>
                <w:color w:val="auto"/>
                <w:spacing w:val="9"/>
                <w:lang w:eastAsia="zh-CN"/>
              </w:rPr>
              <w:t>编码：</w:t>
            </w:r>
            <w:r>
              <w:rPr>
                <w:rFonts w:ascii="Times New Roman" w:hAnsi="Times New Roman" w:eastAsia="Times New Roman" w:cs="Times New Roman"/>
                <w:color w:val="auto"/>
                <w:spacing w:val="9"/>
                <w:lang w:eastAsia="zh-CN"/>
              </w:rPr>
              <w:t>T81.3</w:t>
            </w:r>
            <w:r>
              <w:rPr>
                <w:color w:val="auto"/>
                <w:spacing w:val="9"/>
                <w:lang w:eastAsia="zh-CN"/>
              </w:rPr>
              <w:t>的手术患者手术伤口</w:t>
            </w:r>
            <w:r>
              <w:rPr>
                <w:color w:val="auto"/>
                <w:spacing w:val="10"/>
                <w:lang w:eastAsia="zh-CN"/>
              </w:rPr>
              <w:t>裂开发生例数；以及手术患者手术伤口裂</w:t>
            </w:r>
            <w:r>
              <w:rPr>
                <w:color w:val="auto"/>
                <w:spacing w:val="13"/>
                <w:lang w:eastAsia="zh-CN"/>
              </w:rPr>
              <w:t>开发生例数占同期手术患者出院人次的比</w:t>
            </w:r>
            <w:r>
              <w:rPr>
                <w:color w:val="auto"/>
                <w:spacing w:val="2"/>
                <w:lang w:eastAsia="zh-CN"/>
              </w:rPr>
              <w:t>例。</w:t>
            </w:r>
          </w:p>
        </w:tc>
        <w:tc>
          <w:tcPr>
            <w:tcW w:w="2977" w:type="dxa"/>
          </w:tcPr>
          <w:p>
            <w:pPr>
              <w:pStyle w:val="8"/>
              <w:spacing w:before="0" w:line="240" w:lineRule="exact"/>
              <w:ind w:left="23" w:right="10" w:firstLine="6"/>
              <w:jc w:val="both"/>
              <w:rPr>
                <w:rFonts w:ascii="Times New Roman" w:hAnsi="Times New Roman" w:eastAsia="Times New Roman" w:cs="Times New Roman"/>
                <w:color w:val="auto"/>
                <w:lang w:eastAsia="zh-CN"/>
              </w:rPr>
            </w:pPr>
            <w:r>
              <w:rPr>
                <w:color w:val="auto"/>
                <w:spacing w:val="10"/>
                <w:lang w:eastAsia="zh-CN"/>
              </w:rPr>
              <w:t>手术患者手术伤口裂开发生率</w:t>
            </w:r>
            <w:r>
              <w:rPr>
                <w:rFonts w:ascii="Times New Roman" w:hAnsi="Times New Roman" w:eastAsia="Times New Roman" w:cs="Times New Roman"/>
                <w:color w:val="auto"/>
                <w:spacing w:val="10"/>
                <w:lang w:eastAsia="zh-CN"/>
              </w:rPr>
              <w:t>=</w:t>
            </w:r>
            <w:r>
              <w:rPr>
                <w:color w:val="auto"/>
                <w:spacing w:val="10"/>
                <w:lang w:eastAsia="zh-CN"/>
              </w:rPr>
              <w:t>手</w:t>
            </w:r>
            <w:r>
              <w:rPr>
                <w:color w:val="auto"/>
                <w:spacing w:val="15"/>
                <w:lang w:eastAsia="zh-CN"/>
              </w:rPr>
              <w:t>术患者手术后伤口裂开发生例数</w:t>
            </w:r>
            <w:r>
              <w:rPr>
                <w:rFonts w:ascii="Times New Roman" w:hAnsi="Times New Roman" w:eastAsia="Times New Roman" w:cs="Times New Roman"/>
                <w:color w:val="auto"/>
                <w:spacing w:val="15"/>
                <w:lang w:eastAsia="zh-CN"/>
              </w:rPr>
              <w:t>/</w:t>
            </w:r>
            <w:r>
              <w:rPr>
                <w:color w:val="auto"/>
                <w:spacing w:val="6"/>
                <w:lang w:eastAsia="zh-CN"/>
              </w:rPr>
              <w:t>同期手术患者出院人次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10"/>
                <w:lang w:eastAsia="zh-CN"/>
              </w:rPr>
              <w:t>（六）手术患者手术后猝死</w:t>
            </w:r>
            <w:r>
              <w:rPr>
                <w:color w:val="auto"/>
                <w:spacing w:val="8"/>
                <w:lang w:eastAsia="zh-CN"/>
              </w:rPr>
              <w:t>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0"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5"/>
                <w:lang w:eastAsia="zh-CN"/>
              </w:rPr>
              <w:t>-10</w:t>
            </w:r>
            <w:r>
              <w:rPr>
                <w:color w:val="auto"/>
                <w:spacing w:val="5"/>
                <w:lang w:eastAsia="zh-CN"/>
              </w:rPr>
              <w:t>编码：</w:t>
            </w:r>
            <w:r>
              <w:rPr>
                <w:rFonts w:ascii="Times New Roman" w:hAnsi="Times New Roman" w:eastAsia="Times New Roman" w:cs="Times New Roman"/>
                <w:color w:val="auto"/>
                <w:spacing w:val="5"/>
                <w:lang w:eastAsia="zh-CN"/>
              </w:rPr>
              <w:t>R96.0,R96.1,I46.1</w:t>
            </w:r>
            <w:r>
              <w:rPr>
                <w:color w:val="auto"/>
                <w:spacing w:val="5"/>
                <w:lang w:eastAsia="zh-CN"/>
              </w:rPr>
              <w:t>的手术患</w:t>
            </w:r>
            <w:r>
              <w:rPr>
                <w:color w:val="auto"/>
                <w:spacing w:val="10"/>
                <w:lang w:eastAsia="zh-CN"/>
              </w:rPr>
              <w:t>者手术后猝死发生例数；以及手术患者手</w:t>
            </w:r>
            <w:r>
              <w:rPr>
                <w:color w:val="auto"/>
                <w:spacing w:val="13"/>
                <w:lang w:eastAsia="zh-CN"/>
              </w:rPr>
              <w:t>术后猝死发生例数占同期手术出院人次的</w:t>
            </w:r>
            <w:r>
              <w:rPr>
                <w:color w:val="auto"/>
                <w:spacing w:val="2"/>
                <w:lang w:eastAsia="zh-CN"/>
              </w:rPr>
              <w:t>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手术患者手术后猝死发生率</w:t>
            </w:r>
            <w:r>
              <w:rPr>
                <w:rFonts w:ascii="Times New Roman" w:hAnsi="Times New Roman" w:eastAsia="Times New Roman" w:cs="Times New Roman"/>
                <w:color w:val="auto"/>
                <w:spacing w:val="10"/>
                <w:lang w:eastAsia="zh-CN"/>
              </w:rPr>
              <w:t>=</w:t>
            </w:r>
            <w:r>
              <w:rPr>
                <w:color w:val="auto"/>
                <w:spacing w:val="10"/>
                <w:lang w:eastAsia="zh-CN"/>
              </w:rPr>
              <w:t>手术</w:t>
            </w:r>
            <w:r>
              <w:rPr>
                <w:color w:val="auto"/>
                <w:spacing w:val="14"/>
                <w:lang w:eastAsia="zh-CN"/>
              </w:rPr>
              <w:t>患者手术后猝死发生例数</w:t>
            </w:r>
            <w:r>
              <w:rPr>
                <w:rFonts w:ascii="Times New Roman" w:hAnsi="Times New Roman" w:eastAsia="Times New Roman" w:cs="Times New Roman"/>
                <w:color w:val="auto"/>
                <w:spacing w:val="14"/>
                <w:lang w:eastAsia="zh-CN"/>
              </w:rPr>
              <w:t>/</w:t>
            </w:r>
            <w:r>
              <w:rPr>
                <w:color w:val="auto"/>
                <w:spacing w:val="14"/>
                <w:lang w:eastAsia="zh-CN"/>
              </w:rPr>
              <w:t>同期手</w:t>
            </w:r>
            <w:r>
              <w:rPr>
                <w:color w:val="auto"/>
                <w:spacing w:val="5"/>
                <w:lang w:eastAsia="zh-CN"/>
              </w:rPr>
              <w:t>术患者出院人次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10"/>
                <w:lang w:eastAsia="zh-CN"/>
              </w:rPr>
              <w:t>（七）手术患者手术后呼吸</w:t>
            </w:r>
            <w:r>
              <w:rPr>
                <w:color w:val="auto"/>
                <w:spacing w:val="9"/>
                <w:lang w:eastAsia="zh-CN"/>
              </w:rPr>
              <w:t>衰竭发生例数和发生率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J95.800x004</w:t>
            </w:r>
            <w:r>
              <w:rPr>
                <w:color w:val="auto"/>
                <w:spacing w:val="1"/>
                <w:lang w:eastAsia="zh-CN"/>
              </w:rPr>
              <w:t>，</w:t>
            </w:r>
            <w:r>
              <w:rPr>
                <w:rFonts w:ascii="Times New Roman" w:hAnsi="Times New Roman" w:eastAsia="Times New Roman" w:cs="Times New Roman"/>
                <w:color w:val="auto"/>
                <w:spacing w:val="1"/>
                <w:lang w:eastAsia="zh-CN"/>
              </w:rPr>
              <w:t>J</w:t>
            </w:r>
            <w:r>
              <w:rPr>
                <w:rFonts w:ascii="Times New Roman" w:hAnsi="Times New Roman" w:eastAsia="Times New Roman" w:cs="Times New Roman"/>
                <w:color w:val="auto"/>
                <w:lang w:eastAsia="zh-CN"/>
              </w:rPr>
              <w:t>96.0</w:t>
            </w:r>
            <w:r>
              <w:rPr>
                <w:color w:val="auto"/>
                <w:lang w:eastAsia="zh-CN"/>
              </w:rPr>
              <w:t>，</w:t>
            </w:r>
            <w:r>
              <w:rPr>
                <w:rFonts w:ascii="Times New Roman" w:hAnsi="Times New Roman" w:eastAsia="Times New Roman" w:cs="Times New Roman"/>
                <w:color w:val="auto"/>
                <w:lang w:eastAsia="zh-CN"/>
              </w:rPr>
              <w:t>J96.1</w:t>
            </w:r>
            <w:r>
              <w:rPr>
                <w:color w:val="auto"/>
                <w:lang w:eastAsia="zh-CN"/>
              </w:rPr>
              <w:t>，</w:t>
            </w:r>
            <w:r>
              <w:rPr>
                <w:rFonts w:ascii="Times New Roman" w:hAnsi="Times New Roman" w:eastAsia="Times New Roman" w:cs="Times New Roman"/>
                <w:color w:val="auto"/>
                <w:spacing w:val="15"/>
                <w:lang w:eastAsia="zh-CN"/>
              </w:rPr>
              <w:t>J96.9</w:t>
            </w:r>
            <w:r>
              <w:rPr>
                <w:color w:val="auto"/>
                <w:spacing w:val="15"/>
                <w:lang w:eastAsia="zh-CN"/>
              </w:rPr>
              <w:t>的手术患者手术后呼吸衰竭发生例</w:t>
            </w:r>
            <w:r>
              <w:rPr>
                <w:color w:val="auto"/>
                <w:spacing w:val="10"/>
                <w:lang w:eastAsia="zh-CN"/>
              </w:rPr>
              <w:t>数；以及手术患者手术后呼吸衰竭发生例</w:t>
            </w:r>
            <w:r>
              <w:rPr>
                <w:color w:val="auto"/>
                <w:spacing w:val="8"/>
                <w:lang w:eastAsia="zh-CN"/>
              </w:rPr>
              <w:t>数占同期手术患者出院人次的比例。</w:t>
            </w:r>
          </w:p>
        </w:tc>
        <w:tc>
          <w:tcPr>
            <w:tcW w:w="2977" w:type="dxa"/>
          </w:tcPr>
          <w:p>
            <w:pPr>
              <w:pStyle w:val="8"/>
              <w:spacing w:before="0" w:line="240" w:lineRule="exact"/>
              <w:ind w:left="26" w:right="11" w:firstLine="3"/>
              <w:jc w:val="both"/>
              <w:rPr>
                <w:rFonts w:ascii="Times New Roman" w:hAnsi="Times New Roman" w:eastAsia="Times New Roman" w:cs="Times New Roman"/>
                <w:color w:val="auto"/>
                <w:lang w:eastAsia="zh-CN"/>
              </w:rPr>
            </w:pPr>
            <w:r>
              <w:rPr>
                <w:color w:val="auto"/>
                <w:spacing w:val="10"/>
                <w:lang w:eastAsia="zh-CN"/>
              </w:rPr>
              <w:t>手术患者手术后呼吸衰竭发生率</w:t>
            </w:r>
            <w:r>
              <w:rPr>
                <w:rFonts w:ascii="Times New Roman" w:hAnsi="Times New Roman" w:eastAsia="Times New Roman" w:cs="Times New Roman"/>
                <w:color w:val="auto"/>
                <w:spacing w:val="10"/>
                <w:lang w:eastAsia="zh-CN"/>
              </w:rPr>
              <w:t>=</w:t>
            </w:r>
            <w:r>
              <w:rPr>
                <w:color w:val="auto"/>
                <w:spacing w:val="19"/>
                <w:lang w:eastAsia="zh-CN"/>
              </w:rPr>
              <w:t>手术患者手术后呼吸衰竭发生例</w:t>
            </w:r>
            <w:r>
              <w:rPr>
                <w:color w:val="auto"/>
                <w:spacing w:val="6"/>
                <w:lang w:eastAsia="zh-CN"/>
              </w:rPr>
              <w:t>数</w:t>
            </w:r>
            <w:r>
              <w:rPr>
                <w:rFonts w:ascii="Times New Roman" w:hAnsi="Times New Roman" w:eastAsia="Times New Roman" w:cs="Times New Roman"/>
                <w:color w:val="auto"/>
                <w:spacing w:val="6"/>
                <w:lang w:eastAsia="zh-CN"/>
              </w:rPr>
              <w:t>/</w:t>
            </w:r>
            <w:r>
              <w:rPr>
                <w:color w:val="auto"/>
                <w:spacing w:val="6"/>
                <w:lang w:eastAsia="zh-CN"/>
              </w:rPr>
              <w:t>同期手术患者出院人次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5" w:right="11" w:hanging="1"/>
              <w:rPr>
                <w:color w:val="auto"/>
                <w:lang w:eastAsia="zh-CN"/>
              </w:rPr>
            </w:pPr>
            <w:r>
              <w:rPr>
                <w:color w:val="auto"/>
                <w:spacing w:val="5"/>
                <w:lang w:eastAsia="zh-CN"/>
              </w:rPr>
              <w:t>（八）手术患者手术后生理</w:t>
            </w:r>
            <w:r>
              <w:rPr>
                <w:rFonts w:ascii="Times New Roman" w:hAnsi="Times New Roman" w:eastAsia="Times New Roman" w:cs="Times New Roman"/>
                <w:color w:val="auto"/>
                <w:spacing w:val="5"/>
                <w:lang w:eastAsia="zh-CN"/>
              </w:rPr>
              <w:t>/</w:t>
            </w:r>
            <w:r>
              <w:rPr>
                <w:color w:val="auto"/>
                <w:spacing w:val="9"/>
                <w:lang w:eastAsia="zh-CN"/>
              </w:rPr>
              <w:t>代谢紊乱发生例数和发生率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0"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E89.0</w:t>
            </w:r>
            <w:r>
              <w:rPr>
                <w:color w:val="auto"/>
                <w:spacing w:val="1"/>
                <w:lang w:eastAsia="zh-CN"/>
              </w:rPr>
              <w:t>至</w:t>
            </w:r>
            <w:r>
              <w:rPr>
                <w:rFonts w:ascii="Times New Roman" w:hAnsi="Times New Roman" w:eastAsia="Times New Roman" w:cs="Times New Roman"/>
                <w:color w:val="auto"/>
                <w:spacing w:val="1"/>
                <w:lang w:eastAsia="zh-CN"/>
              </w:rPr>
              <w:t>E89.9</w:t>
            </w:r>
            <w:r>
              <w:rPr>
                <w:color w:val="auto"/>
                <w:spacing w:val="1"/>
                <w:lang w:eastAsia="zh-CN"/>
              </w:rPr>
              <w:t>的手术患</w:t>
            </w:r>
            <w:r>
              <w:rPr>
                <w:color w:val="auto"/>
                <w:lang w:eastAsia="zh-CN"/>
              </w:rPr>
              <w:t>者手</w:t>
            </w:r>
            <w:r>
              <w:rPr>
                <w:color w:val="auto"/>
                <w:spacing w:val="10"/>
                <w:lang w:eastAsia="zh-CN"/>
              </w:rPr>
              <w:t>术后生理</w:t>
            </w:r>
            <w:r>
              <w:rPr>
                <w:rFonts w:ascii="Times New Roman" w:hAnsi="Times New Roman" w:eastAsia="Times New Roman" w:cs="Times New Roman"/>
                <w:color w:val="auto"/>
                <w:spacing w:val="10"/>
                <w:lang w:eastAsia="zh-CN"/>
              </w:rPr>
              <w:t>/</w:t>
            </w:r>
            <w:r>
              <w:rPr>
                <w:color w:val="auto"/>
                <w:spacing w:val="10"/>
                <w:lang w:eastAsia="zh-CN"/>
              </w:rPr>
              <w:t>代谢紊乱发生例数；手术患者手术后生理</w:t>
            </w:r>
            <w:r>
              <w:rPr>
                <w:rFonts w:ascii="Times New Roman" w:hAnsi="Times New Roman" w:eastAsia="Times New Roman" w:cs="Times New Roman"/>
                <w:color w:val="auto"/>
                <w:spacing w:val="10"/>
                <w:lang w:eastAsia="zh-CN"/>
              </w:rPr>
              <w:t>/</w:t>
            </w:r>
            <w:r>
              <w:rPr>
                <w:color w:val="auto"/>
                <w:spacing w:val="10"/>
                <w:lang w:eastAsia="zh-CN"/>
              </w:rPr>
              <w:t>代谢紊乱发生例数占同期手术患</w:t>
            </w:r>
            <w:r>
              <w:rPr>
                <w:color w:val="auto"/>
                <w:spacing w:val="7"/>
                <w:lang w:eastAsia="zh-CN"/>
              </w:rPr>
              <w:t>者出院人次的比例。</w:t>
            </w:r>
          </w:p>
        </w:tc>
        <w:tc>
          <w:tcPr>
            <w:tcW w:w="2977" w:type="dxa"/>
          </w:tcPr>
          <w:p>
            <w:pPr>
              <w:pStyle w:val="8"/>
              <w:spacing w:before="0" w:line="240" w:lineRule="exact"/>
              <w:ind w:left="23" w:right="8" w:firstLine="6"/>
              <w:jc w:val="both"/>
              <w:rPr>
                <w:rFonts w:ascii="Times New Roman" w:hAnsi="Times New Roman" w:eastAsia="Times New Roman" w:cs="Times New Roman"/>
                <w:color w:val="auto"/>
                <w:lang w:eastAsia="zh-CN"/>
              </w:rPr>
            </w:pPr>
            <w:r>
              <w:rPr>
                <w:color w:val="auto"/>
                <w:spacing w:val="14"/>
                <w:lang w:eastAsia="zh-CN"/>
              </w:rPr>
              <w:t>手术患者手术后生理</w:t>
            </w:r>
            <w:r>
              <w:rPr>
                <w:rFonts w:ascii="Times New Roman" w:hAnsi="Times New Roman" w:eastAsia="Times New Roman" w:cs="Times New Roman"/>
                <w:color w:val="auto"/>
                <w:spacing w:val="14"/>
                <w:lang w:eastAsia="zh-CN"/>
              </w:rPr>
              <w:t>/</w:t>
            </w:r>
            <w:r>
              <w:rPr>
                <w:color w:val="auto"/>
                <w:spacing w:val="14"/>
                <w:lang w:eastAsia="zh-CN"/>
              </w:rPr>
              <w:t>代谢紊乱发</w:t>
            </w:r>
            <w:r>
              <w:rPr>
                <w:color w:val="auto"/>
                <w:spacing w:val="20"/>
                <w:lang w:eastAsia="zh-CN"/>
              </w:rPr>
              <w:t>生率</w:t>
            </w:r>
            <w:r>
              <w:rPr>
                <w:rFonts w:ascii="Times New Roman" w:hAnsi="Times New Roman" w:eastAsia="Times New Roman" w:cs="Times New Roman"/>
                <w:color w:val="auto"/>
                <w:spacing w:val="20"/>
                <w:lang w:eastAsia="zh-CN"/>
              </w:rPr>
              <w:t>=</w:t>
            </w:r>
            <w:r>
              <w:rPr>
                <w:color w:val="auto"/>
                <w:spacing w:val="20"/>
                <w:lang w:eastAsia="zh-CN"/>
              </w:rPr>
              <w:t>手术患者手术后生理</w:t>
            </w:r>
            <w:r>
              <w:rPr>
                <w:rFonts w:ascii="Times New Roman" w:hAnsi="Times New Roman" w:eastAsia="Times New Roman" w:cs="Times New Roman"/>
                <w:color w:val="auto"/>
                <w:spacing w:val="20"/>
                <w:lang w:eastAsia="zh-CN"/>
              </w:rPr>
              <w:t>/</w:t>
            </w:r>
            <w:r>
              <w:rPr>
                <w:color w:val="auto"/>
                <w:spacing w:val="20"/>
                <w:lang w:eastAsia="zh-CN"/>
              </w:rPr>
              <w:t>代谢</w:t>
            </w:r>
            <w:r>
              <w:rPr>
                <w:color w:val="auto"/>
                <w:spacing w:val="14"/>
                <w:lang w:eastAsia="zh-CN"/>
              </w:rPr>
              <w:t>紊乱发生例数</w:t>
            </w:r>
            <w:r>
              <w:rPr>
                <w:rFonts w:ascii="Times New Roman" w:hAnsi="Times New Roman" w:eastAsia="Times New Roman" w:cs="Times New Roman"/>
                <w:color w:val="auto"/>
                <w:spacing w:val="14"/>
                <w:lang w:eastAsia="zh-CN"/>
              </w:rPr>
              <w:t>/</w:t>
            </w:r>
            <w:r>
              <w:rPr>
                <w:color w:val="auto"/>
                <w:spacing w:val="14"/>
                <w:lang w:eastAsia="zh-CN"/>
              </w:rPr>
              <w:t>同期手术患者出院</w:t>
            </w:r>
            <w:r>
              <w:rPr>
                <w:color w:val="auto"/>
                <w:spacing w:val="2"/>
                <w:lang w:eastAsia="zh-CN"/>
              </w:rPr>
              <w:t>人次</w:t>
            </w:r>
            <w:r>
              <w:rPr>
                <w:rFonts w:ascii="Times New Roman" w:hAnsi="Times New Roman" w:eastAsia="Times New Roman" w:cs="Times New Roman"/>
                <w:color w:val="auto"/>
                <w:spacing w:val="2"/>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7" w:right="14" w:hanging="3"/>
              <w:rPr>
                <w:color w:val="auto"/>
                <w:lang w:eastAsia="zh-CN"/>
              </w:rPr>
            </w:pPr>
            <w:r>
              <w:rPr>
                <w:color w:val="auto"/>
                <w:spacing w:val="5"/>
                <w:lang w:eastAsia="zh-CN"/>
              </w:rPr>
              <w:t>（九）与手术</w:t>
            </w:r>
            <w:r>
              <w:rPr>
                <w:rFonts w:ascii="Times New Roman" w:hAnsi="Times New Roman" w:eastAsia="Times New Roman" w:cs="Times New Roman"/>
                <w:color w:val="auto"/>
                <w:spacing w:val="5"/>
                <w:lang w:eastAsia="zh-CN"/>
              </w:rPr>
              <w:t>/</w:t>
            </w:r>
            <w:r>
              <w:rPr>
                <w:color w:val="auto"/>
                <w:spacing w:val="5"/>
                <w:lang w:eastAsia="zh-CN"/>
              </w:rPr>
              <w:t>操作相关感染</w:t>
            </w:r>
            <w:r>
              <w:rPr>
                <w:color w:val="auto"/>
                <w:spacing w:val="8"/>
                <w:lang w:eastAsia="zh-CN"/>
              </w:rPr>
              <w:t>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right="10"/>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7"/>
                <w:lang w:eastAsia="zh-CN"/>
              </w:rPr>
              <w:t>-10</w:t>
            </w:r>
            <w:r>
              <w:rPr>
                <w:color w:val="auto"/>
                <w:spacing w:val="7"/>
                <w:lang w:eastAsia="zh-CN"/>
              </w:rPr>
              <w:t>编码：</w:t>
            </w:r>
            <w:r>
              <w:rPr>
                <w:rFonts w:ascii="Times New Roman" w:hAnsi="Times New Roman" w:eastAsia="Times New Roman" w:cs="Times New Roman"/>
                <w:color w:val="auto"/>
                <w:spacing w:val="7"/>
                <w:lang w:eastAsia="zh-CN"/>
              </w:rPr>
              <w:t>T81.4</w:t>
            </w:r>
            <w:r>
              <w:rPr>
                <w:color w:val="auto"/>
                <w:spacing w:val="7"/>
                <w:lang w:eastAsia="zh-CN"/>
              </w:rPr>
              <w:t>与手术</w:t>
            </w:r>
            <w:r>
              <w:rPr>
                <w:rFonts w:ascii="Times New Roman" w:hAnsi="Times New Roman" w:eastAsia="Times New Roman" w:cs="Times New Roman"/>
                <w:color w:val="auto"/>
                <w:spacing w:val="7"/>
                <w:lang w:eastAsia="zh-CN"/>
              </w:rPr>
              <w:t>/</w:t>
            </w:r>
            <w:r>
              <w:rPr>
                <w:color w:val="auto"/>
                <w:spacing w:val="7"/>
                <w:lang w:eastAsia="zh-CN"/>
              </w:rPr>
              <w:t>操作相关感染发生例数；以及与手术</w:t>
            </w:r>
            <w:r>
              <w:rPr>
                <w:rFonts w:ascii="Times New Roman" w:hAnsi="Times New Roman" w:eastAsia="Times New Roman" w:cs="Times New Roman"/>
                <w:color w:val="auto"/>
                <w:spacing w:val="7"/>
                <w:lang w:eastAsia="zh-CN"/>
              </w:rPr>
              <w:t>/</w:t>
            </w:r>
            <w:r>
              <w:rPr>
                <w:color w:val="auto"/>
                <w:spacing w:val="7"/>
                <w:lang w:eastAsia="zh-CN"/>
              </w:rPr>
              <w:t>操作相关感染发生</w:t>
            </w:r>
            <w:r>
              <w:rPr>
                <w:color w:val="auto"/>
                <w:spacing w:val="21"/>
                <w:lang w:eastAsia="zh-CN"/>
              </w:rPr>
              <w:t>例数占同期手术</w:t>
            </w:r>
            <w:r>
              <w:rPr>
                <w:rFonts w:ascii="Times New Roman" w:hAnsi="Times New Roman" w:eastAsia="Times New Roman" w:cs="Times New Roman"/>
                <w:color w:val="auto"/>
                <w:spacing w:val="21"/>
                <w:lang w:eastAsia="zh-CN"/>
              </w:rPr>
              <w:t>/</w:t>
            </w:r>
            <w:r>
              <w:rPr>
                <w:color w:val="auto"/>
                <w:spacing w:val="21"/>
                <w:lang w:eastAsia="zh-CN"/>
              </w:rPr>
              <w:t>操作患者出院人次的比</w:t>
            </w:r>
            <w:r>
              <w:rPr>
                <w:color w:val="auto"/>
                <w:spacing w:val="2"/>
                <w:lang w:eastAsia="zh-CN"/>
              </w:rPr>
              <w:t>例。</w:t>
            </w:r>
          </w:p>
        </w:tc>
        <w:tc>
          <w:tcPr>
            <w:tcW w:w="2977" w:type="dxa"/>
          </w:tcPr>
          <w:p>
            <w:pPr>
              <w:pStyle w:val="8"/>
              <w:spacing w:before="0" w:line="240" w:lineRule="exact"/>
              <w:ind w:left="30" w:right="11" w:firstLine="2"/>
              <w:jc w:val="both"/>
              <w:rPr>
                <w:rFonts w:ascii="Times New Roman" w:hAnsi="Times New Roman" w:eastAsia="Times New Roman" w:cs="Times New Roman"/>
                <w:color w:val="auto"/>
                <w:lang w:eastAsia="zh-CN"/>
              </w:rPr>
            </w:pPr>
            <w:r>
              <w:rPr>
                <w:color w:val="auto"/>
                <w:spacing w:val="19"/>
                <w:lang w:eastAsia="zh-CN"/>
              </w:rPr>
              <w:t>与手术</w:t>
            </w:r>
            <w:r>
              <w:rPr>
                <w:rFonts w:ascii="Times New Roman" w:hAnsi="Times New Roman" w:eastAsia="Times New Roman" w:cs="Times New Roman"/>
                <w:color w:val="auto"/>
                <w:spacing w:val="19"/>
                <w:lang w:eastAsia="zh-CN"/>
              </w:rPr>
              <w:t>/</w:t>
            </w:r>
            <w:r>
              <w:rPr>
                <w:color w:val="auto"/>
                <w:spacing w:val="19"/>
                <w:lang w:eastAsia="zh-CN"/>
              </w:rPr>
              <w:t>操作相关感染发生率</w:t>
            </w:r>
            <w:r>
              <w:rPr>
                <w:rFonts w:ascii="Times New Roman" w:hAnsi="Times New Roman" w:eastAsia="Times New Roman" w:cs="Times New Roman"/>
                <w:color w:val="auto"/>
                <w:spacing w:val="19"/>
                <w:lang w:eastAsia="zh-CN"/>
              </w:rPr>
              <w:t>=</w:t>
            </w:r>
            <w:r>
              <w:rPr>
                <w:color w:val="auto"/>
                <w:spacing w:val="19"/>
                <w:lang w:eastAsia="zh-CN"/>
              </w:rPr>
              <w:t>与</w:t>
            </w:r>
            <w:r>
              <w:rPr>
                <w:color w:val="auto"/>
                <w:spacing w:val="10"/>
                <w:lang w:eastAsia="zh-CN"/>
              </w:rPr>
              <w:t>手术</w:t>
            </w:r>
            <w:r>
              <w:rPr>
                <w:rFonts w:ascii="Times New Roman" w:hAnsi="Times New Roman" w:eastAsia="Times New Roman" w:cs="Times New Roman"/>
                <w:color w:val="auto"/>
                <w:spacing w:val="10"/>
                <w:lang w:eastAsia="zh-CN"/>
              </w:rPr>
              <w:t>/</w:t>
            </w:r>
            <w:r>
              <w:rPr>
                <w:color w:val="auto"/>
                <w:spacing w:val="10"/>
                <w:lang w:eastAsia="zh-CN"/>
              </w:rPr>
              <w:t>操作相关感染发生例数</w:t>
            </w:r>
            <w:r>
              <w:rPr>
                <w:rFonts w:ascii="Times New Roman" w:hAnsi="Times New Roman" w:eastAsia="Times New Roman" w:cs="Times New Roman"/>
                <w:color w:val="auto"/>
                <w:spacing w:val="10"/>
                <w:lang w:eastAsia="zh-CN"/>
              </w:rPr>
              <w:t>/</w:t>
            </w:r>
            <w:r>
              <w:rPr>
                <w:color w:val="auto"/>
                <w:spacing w:val="10"/>
                <w:lang w:eastAsia="zh-CN"/>
              </w:rPr>
              <w:t>同期</w:t>
            </w:r>
            <w:r>
              <w:rPr>
                <w:color w:val="auto"/>
                <w:spacing w:val="5"/>
                <w:lang w:eastAsia="zh-CN"/>
              </w:rPr>
              <w:t>手术</w:t>
            </w:r>
            <w:r>
              <w:rPr>
                <w:rFonts w:ascii="Times New Roman" w:hAnsi="Times New Roman" w:eastAsia="Times New Roman" w:cs="Times New Roman"/>
                <w:color w:val="auto"/>
                <w:spacing w:val="5"/>
                <w:lang w:eastAsia="zh-CN"/>
              </w:rPr>
              <w:t>/</w:t>
            </w:r>
            <w:r>
              <w:rPr>
                <w:color w:val="auto"/>
                <w:spacing w:val="5"/>
                <w:lang w:eastAsia="zh-CN"/>
              </w:rPr>
              <w:t>操作患者出院人次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10"/>
                <w:lang w:eastAsia="zh-CN"/>
              </w:rPr>
              <w:t>（十）手术过程中异物遗留</w:t>
            </w:r>
            <w:r>
              <w:rPr>
                <w:color w:val="auto"/>
                <w:spacing w:val="8"/>
                <w:lang w:eastAsia="zh-CN"/>
              </w:rPr>
              <w:t>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0"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5"/>
                <w:lang w:eastAsia="zh-CN"/>
              </w:rPr>
              <w:t>-10</w:t>
            </w:r>
            <w:r>
              <w:rPr>
                <w:color w:val="auto"/>
                <w:spacing w:val="5"/>
                <w:lang w:eastAsia="zh-CN"/>
              </w:rPr>
              <w:t>编码：</w:t>
            </w:r>
            <w:r>
              <w:rPr>
                <w:rFonts w:ascii="Times New Roman" w:hAnsi="Times New Roman" w:eastAsia="Times New Roman" w:cs="Times New Roman"/>
                <w:color w:val="auto"/>
                <w:spacing w:val="5"/>
                <w:lang w:eastAsia="zh-CN"/>
              </w:rPr>
              <w:t>T81.5</w:t>
            </w:r>
            <w:r>
              <w:rPr>
                <w:color w:val="auto"/>
                <w:spacing w:val="5"/>
                <w:lang w:eastAsia="zh-CN"/>
              </w:rPr>
              <w:t>，</w:t>
            </w:r>
            <w:r>
              <w:rPr>
                <w:rFonts w:ascii="Times New Roman" w:hAnsi="Times New Roman" w:eastAsia="Times New Roman" w:cs="Times New Roman"/>
                <w:color w:val="auto"/>
                <w:spacing w:val="5"/>
                <w:lang w:eastAsia="zh-CN"/>
              </w:rPr>
              <w:t>T81.6</w:t>
            </w:r>
            <w:r>
              <w:rPr>
                <w:color w:val="auto"/>
                <w:spacing w:val="5"/>
                <w:lang w:eastAsia="zh-CN"/>
              </w:rPr>
              <w:t>的手</w:t>
            </w:r>
            <w:r>
              <w:rPr>
                <w:color w:val="auto"/>
                <w:spacing w:val="4"/>
                <w:lang w:eastAsia="zh-CN"/>
              </w:rPr>
              <w:t>术患者手</w:t>
            </w:r>
            <w:r>
              <w:rPr>
                <w:color w:val="auto"/>
                <w:spacing w:val="10"/>
                <w:lang w:eastAsia="zh-CN"/>
              </w:rPr>
              <w:t>术过程中异物遗留发生例数；以及手术过</w:t>
            </w:r>
            <w:r>
              <w:rPr>
                <w:color w:val="auto"/>
                <w:spacing w:val="13"/>
                <w:lang w:eastAsia="zh-CN"/>
              </w:rPr>
              <w:t>程中异物遗留发生例数占同期手术患者出</w:t>
            </w:r>
            <w:r>
              <w:rPr>
                <w:color w:val="auto"/>
                <w:spacing w:val="7"/>
                <w:lang w:eastAsia="zh-CN"/>
              </w:rPr>
              <w:t>院人次的比例。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手术过程中异物遗留发生率</w:t>
            </w:r>
            <w:r>
              <w:rPr>
                <w:rFonts w:ascii="Times New Roman" w:hAnsi="Times New Roman" w:eastAsia="Times New Roman" w:cs="Times New Roman"/>
                <w:color w:val="auto"/>
                <w:spacing w:val="10"/>
                <w:lang w:eastAsia="zh-CN"/>
              </w:rPr>
              <w:t>=</w:t>
            </w:r>
            <w:r>
              <w:rPr>
                <w:color w:val="auto"/>
                <w:spacing w:val="10"/>
                <w:lang w:eastAsia="zh-CN"/>
              </w:rPr>
              <w:t>手术</w:t>
            </w:r>
            <w:r>
              <w:rPr>
                <w:color w:val="auto"/>
                <w:spacing w:val="14"/>
                <w:lang w:eastAsia="zh-CN"/>
              </w:rPr>
              <w:t>过程中异物遗留发生例数</w:t>
            </w:r>
            <w:r>
              <w:rPr>
                <w:rFonts w:ascii="Times New Roman" w:hAnsi="Times New Roman" w:eastAsia="Times New Roman" w:cs="Times New Roman"/>
                <w:color w:val="auto"/>
                <w:spacing w:val="14"/>
                <w:lang w:eastAsia="zh-CN"/>
              </w:rPr>
              <w:t>/</w:t>
            </w:r>
            <w:r>
              <w:rPr>
                <w:color w:val="auto"/>
                <w:spacing w:val="14"/>
                <w:lang w:eastAsia="zh-CN"/>
              </w:rPr>
              <w:t>同期手</w:t>
            </w:r>
            <w:r>
              <w:rPr>
                <w:color w:val="auto"/>
                <w:spacing w:val="5"/>
                <w:lang w:eastAsia="zh-CN"/>
              </w:rPr>
              <w:t>术患者出院人次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bl>
    <w:p>
      <w:pPr>
        <w:spacing w:line="20" w:lineRule="exact"/>
        <w:rPr>
          <w:color w:val="auto"/>
        </w:rPr>
      </w:pPr>
    </w:p>
    <w:p>
      <w:pPr>
        <w:spacing w:line="20" w:lineRule="exact"/>
        <w:rPr>
          <w:color w:val="auto"/>
        </w:rPr>
        <w:sectPr>
          <w:footerReference r:id="rId23" w:type="default"/>
          <w:pgSz w:w="16839" w:h="11906"/>
          <w:pgMar w:top="1012" w:right="126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434"/>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4" w:type="dxa"/>
          </w:tcPr>
          <w:p>
            <w:pPr>
              <w:spacing w:before="164" w:line="230" w:lineRule="auto"/>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tcPr>
          <w:p>
            <w:pPr>
              <w:spacing w:before="163" w:line="232" w:lineRule="auto"/>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163" w:line="231" w:lineRule="auto"/>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163" w:line="231" w:lineRule="auto"/>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163" w:line="232" w:lineRule="auto"/>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163" w:line="230" w:lineRule="auto"/>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163" w:line="231" w:lineRule="auto"/>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054" w:type="dxa"/>
            <w:vMerge w:val="restart"/>
            <w:tcBorders>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10"/>
                <w:lang w:eastAsia="zh-CN"/>
              </w:rPr>
              <w:t>（十一）手术患者麻醉并发</w:t>
            </w:r>
            <w:r>
              <w:rPr>
                <w:color w:val="auto"/>
                <w:spacing w:val="9"/>
                <w:lang w:eastAsia="zh-CN"/>
              </w:rPr>
              <w:t>症发生例数和发生率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9" w:right="10" w:hanging="2"/>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T88.2</w:t>
            </w:r>
            <w:r>
              <w:rPr>
                <w:color w:val="auto"/>
                <w:spacing w:val="1"/>
                <w:lang w:eastAsia="zh-CN"/>
              </w:rPr>
              <w:t>至</w:t>
            </w:r>
            <w:r>
              <w:rPr>
                <w:rFonts w:ascii="Times New Roman" w:hAnsi="Times New Roman" w:eastAsia="Times New Roman" w:cs="Times New Roman"/>
                <w:color w:val="auto"/>
                <w:spacing w:val="1"/>
                <w:lang w:eastAsia="zh-CN"/>
              </w:rPr>
              <w:t>T88.5</w:t>
            </w:r>
            <w:r>
              <w:rPr>
                <w:color w:val="auto"/>
                <w:spacing w:val="1"/>
                <w:lang w:eastAsia="zh-CN"/>
              </w:rPr>
              <w:t>的手</w:t>
            </w:r>
            <w:r>
              <w:rPr>
                <w:color w:val="auto"/>
                <w:lang w:eastAsia="zh-CN"/>
              </w:rPr>
              <w:t>术患者麻</w:t>
            </w:r>
            <w:r>
              <w:rPr>
                <w:color w:val="auto"/>
                <w:spacing w:val="10"/>
                <w:lang w:eastAsia="zh-CN"/>
              </w:rPr>
              <w:t>醉并发症发生例数；以及手术患者麻醉并</w:t>
            </w:r>
            <w:r>
              <w:rPr>
                <w:color w:val="auto"/>
                <w:spacing w:val="13"/>
                <w:lang w:eastAsia="zh-CN"/>
              </w:rPr>
              <w:t>发症发生例数占同期手术患者出院人次的</w:t>
            </w:r>
            <w:r>
              <w:rPr>
                <w:color w:val="auto"/>
                <w:spacing w:val="3"/>
                <w:lang w:eastAsia="zh-CN"/>
              </w:rPr>
              <w:t>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手术患者麻醉并发症发生率</w:t>
            </w:r>
            <w:r>
              <w:rPr>
                <w:rFonts w:ascii="Times New Roman" w:hAnsi="Times New Roman" w:eastAsia="Times New Roman" w:cs="Times New Roman"/>
                <w:color w:val="auto"/>
                <w:spacing w:val="10"/>
                <w:lang w:eastAsia="zh-CN"/>
              </w:rPr>
              <w:t>=</w:t>
            </w:r>
            <w:r>
              <w:rPr>
                <w:color w:val="auto"/>
                <w:spacing w:val="10"/>
                <w:lang w:eastAsia="zh-CN"/>
              </w:rPr>
              <w:t>手术</w:t>
            </w:r>
            <w:r>
              <w:rPr>
                <w:color w:val="auto"/>
                <w:spacing w:val="14"/>
                <w:lang w:eastAsia="zh-CN"/>
              </w:rPr>
              <w:t>患者麻醉并发症发生例数</w:t>
            </w:r>
            <w:r>
              <w:rPr>
                <w:rFonts w:ascii="Times New Roman" w:hAnsi="Times New Roman" w:eastAsia="Times New Roman" w:cs="Times New Roman"/>
                <w:color w:val="auto"/>
                <w:spacing w:val="14"/>
                <w:lang w:eastAsia="zh-CN"/>
              </w:rPr>
              <w:t>/</w:t>
            </w:r>
            <w:r>
              <w:rPr>
                <w:color w:val="auto"/>
                <w:spacing w:val="14"/>
                <w:lang w:eastAsia="zh-CN"/>
              </w:rPr>
              <w:t>同期手</w:t>
            </w:r>
            <w:r>
              <w:rPr>
                <w:color w:val="auto"/>
                <w:spacing w:val="5"/>
                <w:lang w:eastAsia="zh-CN"/>
              </w:rPr>
              <w:t>术患者出院人次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28" w:right="14" w:hanging="14"/>
              <w:jc w:val="both"/>
              <w:rPr>
                <w:color w:val="auto"/>
                <w:lang w:eastAsia="zh-CN"/>
              </w:rPr>
            </w:pPr>
            <w:r>
              <w:rPr>
                <w:color w:val="auto"/>
                <w:spacing w:val="10"/>
                <w:lang w:eastAsia="zh-CN"/>
              </w:rPr>
              <w:t>（十二）手术患者肺部感染</w:t>
            </w:r>
            <w:r>
              <w:rPr>
                <w:color w:val="auto"/>
                <w:spacing w:val="8"/>
                <w:lang w:eastAsia="zh-CN"/>
              </w:rPr>
              <w:t>与肺机能不全发生例数和发</w:t>
            </w:r>
            <w:r>
              <w:rPr>
                <w:color w:val="auto"/>
                <w:spacing w:val="-1"/>
                <w:lang w:eastAsia="zh-CN"/>
              </w:rPr>
              <w:t>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jc w:val="both"/>
              <w:rPr>
                <w:color w:val="auto"/>
                <w:lang w:eastAsia="zh-CN"/>
              </w:rPr>
            </w:pPr>
            <w:r>
              <w:rPr>
                <w:rFonts w:ascii="Times New Roman" w:hAnsi="Times New Roman" w:eastAsia="Times New Roman" w:cs="Times New Roman"/>
                <w:color w:val="auto"/>
                <w:spacing w:val="-3"/>
                <w:lang w:eastAsia="zh-CN"/>
              </w:rPr>
              <w:t>ICD-10</w:t>
            </w:r>
            <w:r>
              <w:rPr>
                <w:color w:val="auto"/>
                <w:spacing w:val="-3"/>
                <w:lang w:eastAsia="zh-CN"/>
              </w:rPr>
              <w:t>编码：</w:t>
            </w:r>
            <w:r>
              <w:rPr>
                <w:rFonts w:ascii="Times New Roman" w:hAnsi="Times New Roman" w:eastAsia="Times New Roman" w:cs="Times New Roman"/>
                <w:color w:val="auto"/>
                <w:spacing w:val="-3"/>
                <w:lang w:eastAsia="zh-CN"/>
              </w:rPr>
              <w:t>J95.1</w:t>
            </w:r>
            <w:r>
              <w:rPr>
                <w:color w:val="auto"/>
                <w:spacing w:val="-3"/>
                <w:lang w:eastAsia="zh-CN"/>
              </w:rPr>
              <w:t>至</w:t>
            </w:r>
            <w:r>
              <w:rPr>
                <w:rFonts w:ascii="Times New Roman" w:hAnsi="Times New Roman" w:eastAsia="Times New Roman" w:cs="Times New Roman"/>
                <w:color w:val="auto"/>
                <w:spacing w:val="-3"/>
                <w:lang w:eastAsia="zh-CN"/>
              </w:rPr>
              <w:t>J95.4</w:t>
            </w:r>
            <w:r>
              <w:rPr>
                <w:color w:val="auto"/>
                <w:spacing w:val="-3"/>
                <w:lang w:eastAsia="zh-CN"/>
              </w:rPr>
              <w:t>，</w:t>
            </w:r>
            <w:r>
              <w:rPr>
                <w:rFonts w:ascii="Times New Roman" w:hAnsi="Times New Roman" w:eastAsia="Times New Roman" w:cs="Times New Roman"/>
                <w:color w:val="auto"/>
                <w:spacing w:val="-3"/>
                <w:lang w:eastAsia="zh-CN"/>
              </w:rPr>
              <w:t>J95.8</w:t>
            </w:r>
            <w:r>
              <w:rPr>
                <w:color w:val="auto"/>
                <w:spacing w:val="-3"/>
                <w:lang w:eastAsia="zh-CN"/>
              </w:rPr>
              <w:t>，</w:t>
            </w:r>
            <w:r>
              <w:rPr>
                <w:rFonts w:ascii="Times New Roman" w:hAnsi="Times New Roman" w:eastAsia="Times New Roman" w:cs="Times New Roman"/>
                <w:color w:val="auto"/>
                <w:spacing w:val="-3"/>
                <w:lang w:eastAsia="zh-CN"/>
              </w:rPr>
              <w:t>J95.9</w:t>
            </w:r>
            <w:r>
              <w:rPr>
                <w:color w:val="auto"/>
                <w:spacing w:val="-3"/>
                <w:lang w:eastAsia="zh-CN"/>
              </w:rPr>
              <w:t>，</w:t>
            </w:r>
            <w:r>
              <w:rPr>
                <w:rFonts w:ascii="Times New Roman" w:hAnsi="Times New Roman" w:eastAsia="Times New Roman" w:cs="Times New Roman"/>
                <w:color w:val="auto"/>
                <w:spacing w:val="5"/>
                <w:lang w:eastAsia="zh-CN"/>
              </w:rPr>
              <w:t>J98.4</w:t>
            </w:r>
            <w:r>
              <w:rPr>
                <w:color w:val="auto"/>
                <w:spacing w:val="5"/>
                <w:lang w:eastAsia="zh-CN"/>
              </w:rPr>
              <w:t>，</w:t>
            </w:r>
            <w:r>
              <w:rPr>
                <w:rFonts w:ascii="Times New Roman" w:hAnsi="Times New Roman" w:eastAsia="Times New Roman" w:cs="Times New Roman"/>
                <w:color w:val="auto"/>
                <w:spacing w:val="5"/>
                <w:lang w:eastAsia="zh-CN"/>
              </w:rPr>
              <w:t>J15</w:t>
            </w:r>
            <w:r>
              <w:rPr>
                <w:color w:val="auto"/>
                <w:spacing w:val="5"/>
                <w:lang w:eastAsia="zh-CN"/>
              </w:rPr>
              <w:t>至</w:t>
            </w:r>
            <w:r>
              <w:rPr>
                <w:rFonts w:ascii="Times New Roman" w:hAnsi="Times New Roman" w:eastAsia="Times New Roman" w:cs="Times New Roman"/>
                <w:color w:val="auto"/>
                <w:spacing w:val="5"/>
                <w:lang w:eastAsia="zh-CN"/>
              </w:rPr>
              <w:t>J16</w:t>
            </w:r>
            <w:r>
              <w:rPr>
                <w:color w:val="auto"/>
                <w:spacing w:val="5"/>
                <w:lang w:eastAsia="zh-CN"/>
              </w:rPr>
              <w:t>，</w:t>
            </w:r>
            <w:r>
              <w:rPr>
                <w:rFonts w:ascii="Times New Roman" w:hAnsi="Times New Roman" w:eastAsia="Times New Roman" w:cs="Times New Roman"/>
                <w:color w:val="auto"/>
                <w:spacing w:val="5"/>
                <w:lang w:eastAsia="zh-CN"/>
              </w:rPr>
              <w:t>J18</w:t>
            </w:r>
            <w:r>
              <w:rPr>
                <w:color w:val="auto"/>
                <w:spacing w:val="5"/>
                <w:lang w:eastAsia="zh-CN"/>
              </w:rPr>
              <w:t>的手术患者肺部感</w:t>
            </w:r>
            <w:r>
              <w:rPr>
                <w:color w:val="auto"/>
                <w:spacing w:val="8"/>
                <w:lang w:eastAsia="zh-CN"/>
              </w:rPr>
              <w:t>染与肺机能不全发生例数；以及手术患者</w:t>
            </w:r>
            <w:r>
              <w:rPr>
                <w:color w:val="auto"/>
                <w:spacing w:val="11"/>
                <w:lang w:eastAsia="zh-CN"/>
              </w:rPr>
              <w:t>肺部感染与肺机能不全发生例数占同期手</w:t>
            </w:r>
            <w:r>
              <w:rPr>
                <w:color w:val="auto"/>
                <w:spacing w:val="6"/>
                <w:lang w:eastAsia="zh-CN"/>
              </w:rPr>
              <w:t>术患者出院人次的比例。</w:t>
            </w:r>
          </w:p>
        </w:tc>
        <w:tc>
          <w:tcPr>
            <w:tcW w:w="2977" w:type="dxa"/>
          </w:tcPr>
          <w:p>
            <w:pPr>
              <w:pStyle w:val="8"/>
              <w:spacing w:before="0" w:line="240" w:lineRule="exact"/>
              <w:ind w:left="21" w:right="11" w:firstLine="8"/>
              <w:jc w:val="both"/>
              <w:rPr>
                <w:rFonts w:ascii="Times New Roman" w:hAnsi="Times New Roman" w:eastAsia="Times New Roman" w:cs="Times New Roman"/>
                <w:color w:val="auto"/>
                <w:lang w:eastAsia="zh-CN"/>
              </w:rPr>
            </w:pPr>
            <w:r>
              <w:rPr>
                <w:color w:val="auto"/>
                <w:spacing w:val="19"/>
                <w:lang w:eastAsia="zh-CN"/>
              </w:rPr>
              <w:t>手术患者肺部感染与肺机能不全</w:t>
            </w:r>
            <w:r>
              <w:rPr>
                <w:color w:val="auto"/>
                <w:spacing w:val="11"/>
                <w:lang w:eastAsia="zh-CN"/>
              </w:rPr>
              <w:t>发生率</w:t>
            </w:r>
            <w:r>
              <w:rPr>
                <w:rFonts w:ascii="Times New Roman" w:hAnsi="Times New Roman" w:eastAsia="Times New Roman" w:cs="Times New Roman"/>
                <w:color w:val="auto"/>
                <w:spacing w:val="11"/>
                <w:lang w:eastAsia="zh-CN"/>
              </w:rPr>
              <w:t>=</w:t>
            </w:r>
            <w:r>
              <w:rPr>
                <w:color w:val="auto"/>
                <w:spacing w:val="11"/>
                <w:lang w:eastAsia="zh-CN"/>
              </w:rPr>
              <w:t>手术患者肺部感染与肺机</w:t>
            </w:r>
            <w:r>
              <w:rPr>
                <w:color w:val="auto"/>
                <w:spacing w:val="15"/>
                <w:lang w:eastAsia="zh-CN"/>
              </w:rPr>
              <w:t>能不全发生例数</w:t>
            </w:r>
            <w:r>
              <w:rPr>
                <w:rFonts w:ascii="Times New Roman" w:hAnsi="Times New Roman" w:eastAsia="Times New Roman" w:cs="Times New Roman"/>
                <w:color w:val="auto"/>
                <w:spacing w:val="15"/>
                <w:lang w:eastAsia="zh-CN"/>
              </w:rPr>
              <w:t>/</w:t>
            </w:r>
            <w:r>
              <w:rPr>
                <w:color w:val="auto"/>
                <w:spacing w:val="15"/>
                <w:lang w:eastAsia="zh-CN"/>
              </w:rPr>
              <w:t>同期手术患者出</w:t>
            </w:r>
            <w:r>
              <w:rPr>
                <w:color w:val="auto"/>
                <w:spacing w:val="3"/>
                <w:lang w:eastAsia="zh-CN"/>
              </w:rPr>
              <w:t>院人次</w:t>
            </w:r>
            <w:r>
              <w:rPr>
                <w:rFonts w:ascii="Times New Roman" w:hAnsi="Times New Roman" w:eastAsia="Times New Roman" w:cs="Times New Roman"/>
                <w:color w:val="auto"/>
                <w:spacing w:val="3"/>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7" w:right="14" w:hanging="3"/>
              <w:rPr>
                <w:color w:val="auto"/>
                <w:lang w:eastAsia="zh-CN"/>
              </w:rPr>
            </w:pPr>
            <w:r>
              <w:rPr>
                <w:color w:val="auto"/>
                <w:spacing w:val="10"/>
                <w:lang w:eastAsia="zh-CN"/>
              </w:rPr>
              <w:t>（十三）手术意外穿刺伤或</w:t>
            </w:r>
            <w:r>
              <w:rPr>
                <w:color w:val="auto"/>
                <w:spacing w:val="9"/>
                <w:lang w:eastAsia="zh-CN"/>
              </w:rPr>
              <w:t>撕裂伤发生例数和发生率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9" w:right="10" w:hanging="12"/>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9"/>
                <w:lang w:eastAsia="zh-CN"/>
              </w:rPr>
              <w:t>-10</w:t>
            </w:r>
            <w:r>
              <w:rPr>
                <w:color w:val="auto"/>
                <w:spacing w:val="9"/>
                <w:lang w:eastAsia="zh-CN"/>
              </w:rPr>
              <w:t>编码：</w:t>
            </w:r>
            <w:r>
              <w:rPr>
                <w:rFonts w:ascii="Times New Roman" w:hAnsi="Times New Roman" w:eastAsia="Times New Roman" w:cs="Times New Roman"/>
                <w:color w:val="auto"/>
                <w:spacing w:val="9"/>
                <w:lang w:eastAsia="zh-CN"/>
              </w:rPr>
              <w:t>T81.2</w:t>
            </w:r>
            <w:r>
              <w:rPr>
                <w:color w:val="auto"/>
                <w:spacing w:val="9"/>
                <w:lang w:eastAsia="zh-CN"/>
              </w:rPr>
              <w:t>的手术患者手术意外</w:t>
            </w:r>
            <w:r>
              <w:rPr>
                <w:color w:val="auto"/>
                <w:spacing w:val="10"/>
                <w:lang w:eastAsia="zh-CN"/>
              </w:rPr>
              <w:t>穿刺伤或撕裂伤发生例数；以及手术意外</w:t>
            </w:r>
            <w:r>
              <w:rPr>
                <w:color w:val="auto"/>
                <w:spacing w:val="13"/>
                <w:lang w:eastAsia="zh-CN"/>
              </w:rPr>
              <w:t>穿刺伤或撕裂伤发生例数占同期手术患者</w:t>
            </w:r>
            <w:r>
              <w:rPr>
                <w:color w:val="auto"/>
                <w:spacing w:val="6"/>
                <w:lang w:eastAsia="zh-CN"/>
              </w:rPr>
              <w:t>出院人次的比例。</w:t>
            </w:r>
          </w:p>
        </w:tc>
        <w:tc>
          <w:tcPr>
            <w:tcW w:w="2977" w:type="dxa"/>
          </w:tcPr>
          <w:p>
            <w:pPr>
              <w:pStyle w:val="8"/>
              <w:spacing w:before="0" w:line="240" w:lineRule="exact"/>
              <w:ind w:left="26" w:right="11" w:firstLine="3"/>
              <w:jc w:val="both"/>
              <w:rPr>
                <w:rFonts w:ascii="Times New Roman" w:hAnsi="Times New Roman" w:eastAsia="Times New Roman" w:cs="Times New Roman"/>
                <w:color w:val="auto"/>
                <w:lang w:eastAsia="zh-CN"/>
              </w:rPr>
            </w:pPr>
            <w:r>
              <w:rPr>
                <w:color w:val="auto"/>
                <w:spacing w:val="10"/>
                <w:lang w:eastAsia="zh-CN"/>
              </w:rPr>
              <w:t>手术意外穿刺伤或撕裂伤发生率</w:t>
            </w:r>
            <w:r>
              <w:rPr>
                <w:rFonts w:ascii="Times New Roman" w:hAnsi="Times New Roman" w:eastAsia="Times New Roman" w:cs="Times New Roman"/>
                <w:color w:val="auto"/>
                <w:spacing w:val="10"/>
                <w:lang w:eastAsia="zh-CN"/>
              </w:rPr>
              <w:t>=</w:t>
            </w:r>
            <w:r>
              <w:rPr>
                <w:color w:val="auto"/>
                <w:spacing w:val="19"/>
                <w:lang w:eastAsia="zh-CN"/>
              </w:rPr>
              <w:t>手术意外穿刺伤或撕裂伤发生例</w:t>
            </w:r>
            <w:r>
              <w:rPr>
                <w:color w:val="auto"/>
                <w:spacing w:val="6"/>
                <w:lang w:eastAsia="zh-CN"/>
              </w:rPr>
              <w:t>数</w:t>
            </w:r>
            <w:r>
              <w:rPr>
                <w:rFonts w:ascii="Times New Roman" w:hAnsi="Times New Roman" w:eastAsia="Times New Roman" w:cs="Times New Roman"/>
                <w:color w:val="auto"/>
                <w:spacing w:val="6"/>
                <w:lang w:eastAsia="zh-CN"/>
              </w:rPr>
              <w:t>/</w:t>
            </w:r>
            <w:r>
              <w:rPr>
                <w:color w:val="auto"/>
                <w:spacing w:val="6"/>
                <w:lang w:eastAsia="zh-CN"/>
              </w:rPr>
              <w:t>同期手术患者出院人次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7" w:right="14" w:hanging="3"/>
              <w:rPr>
                <w:color w:val="auto"/>
                <w:lang w:eastAsia="zh-CN"/>
              </w:rPr>
            </w:pPr>
            <w:r>
              <w:rPr>
                <w:color w:val="auto"/>
                <w:spacing w:val="10"/>
                <w:lang w:eastAsia="zh-CN"/>
              </w:rPr>
              <w:t>（十四）手术后急性肾衰竭</w:t>
            </w:r>
            <w:r>
              <w:rPr>
                <w:color w:val="auto"/>
                <w:spacing w:val="8"/>
                <w:lang w:eastAsia="zh-CN"/>
              </w:rPr>
              <w:t>发生例数和发生率</w:t>
            </w:r>
          </w:p>
        </w:tc>
        <w:tc>
          <w:tcPr>
            <w:tcW w:w="1751" w:type="dxa"/>
          </w:tcPr>
          <w:p>
            <w:pPr>
              <w:pStyle w:val="8"/>
              <w:spacing w:before="0" w:line="240" w:lineRule="exact"/>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1" w:right="10" w:hanging="4"/>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3"/>
                <w:lang w:eastAsia="zh-CN"/>
              </w:rPr>
              <w:t>-10</w:t>
            </w:r>
            <w:r>
              <w:rPr>
                <w:color w:val="auto"/>
                <w:spacing w:val="3"/>
                <w:lang w:eastAsia="zh-CN"/>
              </w:rPr>
              <w:t>编码：</w:t>
            </w:r>
            <w:r>
              <w:rPr>
                <w:rFonts w:ascii="Times New Roman" w:hAnsi="Times New Roman" w:eastAsia="Times New Roman" w:cs="Times New Roman"/>
                <w:color w:val="auto"/>
                <w:spacing w:val="3"/>
                <w:lang w:eastAsia="zh-CN"/>
              </w:rPr>
              <w:t>N17.0</w:t>
            </w:r>
            <w:r>
              <w:rPr>
                <w:color w:val="auto"/>
                <w:spacing w:val="3"/>
                <w:lang w:eastAsia="zh-CN"/>
              </w:rPr>
              <w:t>至</w:t>
            </w:r>
            <w:r>
              <w:rPr>
                <w:rFonts w:ascii="Times New Roman" w:hAnsi="Times New Roman" w:eastAsia="Times New Roman" w:cs="Times New Roman"/>
                <w:color w:val="auto"/>
                <w:spacing w:val="3"/>
                <w:lang w:eastAsia="zh-CN"/>
              </w:rPr>
              <w:t>N17.9</w:t>
            </w:r>
            <w:r>
              <w:rPr>
                <w:color w:val="auto"/>
                <w:spacing w:val="3"/>
                <w:lang w:eastAsia="zh-CN"/>
              </w:rPr>
              <w:t>，</w:t>
            </w:r>
            <w:r>
              <w:rPr>
                <w:rFonts w:ascii="Times New Roman" w:hAnsi="Times New Roman" w:eastAsia="Times New Roman" w:cs="Times New Roman"/>
                <w:color w:val="auto"/>
                <w:spacing w:val="3"/>
                <w:lang w:eastAsia="zh-CN"/>
              </w:rPr>
              <w:t>N99.0</w:t>
            </w:r>
            <w:r>
              <w:rPr>
                <w:color w:val="auto"/>
                <w:spacing w:val="3"/>
                <w:lang w:eastAsia="zh-CN"/>
              </w:rPr>
              <w:t>的手</w:t>
            </w:r>
            <w:r>
              <w:rPr>
                <w:color w:val="auto"/>
                <w:spacing w:val="10"/>
                <w:lang w:eastAsia="zh-CN"/>
              </w:rPr>
              <w:t>术患者手术后急性肾衰竭发生例数；以及</w:t>
            </w:r>
            <w:r>
              <w:rPr>
                <w:color w:val="auto"/>
                <w:spacing w:val="13"/>
                <w:lang w:eastAsia="zh-CN"/>
              </w:rPr>
              <w:t>手术后急性肾衰竭发生例数占同期手术患</w:t>
            </w:r>
            <w:r>
              <w:rPr>
                <w:color w:val="auto"/>
                <w:spacing w:val="7"/>
                <w:lang w:eastAsia="zh-CN"/>
              </w:rPr>
              <w:t>者出院人次的比例。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手术后急性肾衰竭发生率</w:t>
            </w:r>
            <w:r>
              <w:rPr>
                <w:rFonts w:ascii="Times New Roman" w:hAnsi="Times New Roman" w:eastAsia="Times New Roman" w:cs="Times New Roman"/>
                <w:color w:val="auto"/>
                <w:spacing w:val="10"/>
                <w:lang w:eastAsia="zh-CN"/>
              </w:rPr>
              <w:t>=</w:t>
            </w:r>
            <w:r>
              <w:rPr>
                <w:color w:val="auto"/>
                <w:spacing w:val="10"/>
                <w:lang w:eastAsia="zh-CN"/>
              </w:rPr>
              <w:t>手术患</w:t>
            </w:r>
            <w:r>
              <w:rPr>
                <w:color w:val="auto"/>
                <w:spacing w:val="14"/>
                <w:lang w:eastAsia="zh-CN"/>
              </w:rPr>
              <w:t>者手术后急性肾衰竭发生例数</w:t>
            </w:r>
            <w:r>
              <w:rPr>
                <w:rFonts w:ascii="Times New Roman" w:hAnsi="Times New Roman" w:eastAsia="Times New Roman" w:cs="Times New Roman"/>
                <w:color w:val="auto"/>
                <w:spacing w:val="14"/>
                <w:lang w:eastAsia="zh-CN"/>
              </w:rPr>
              <w:t>/</w:t>
            </w:r>
            <w:r>
              <w:rPr>
                <w:color w:val="auto"/>
                <w:spacing w:val="14"/>
                <w:lang w:eastAsia="zh-CN"/>
              </w:rPr>
              <w:t>同</w:t>
            </w:r>
            <w:r>
              <w:rPr>
                <w:color w:val="auto"/>
                <w:spacing w:val="6"/>
                <w:lang w:eastAsia="zh-CN"/>
              </w:rPr>
              <w:t>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7" w:right="14" w:hanging="3"/>
              <w:rPr>
                <w:color w:val="auto"/>
                <w:lang w:eastAsia="zh-CN"/>
              </w:rPr>
            </w:pPr>
            <w:r>
              <w:rPr>
                <w:color w:val="auto"/>
                <w:spacing w:val="5"/>
                <w:lang w:eastAsia="zh-CN"/>
              </w:rPr>
              <w:t>（十五）各系统</w:t>
            </w:r>
            <w:r>
              <w:rPr>
                <w:rFonts w:ascii="Times New Roman" w:hAnsi="Times New Roman" w:eastAsia="Times New Roman" w:cs="Times New Roman"/>
                <w:color w:val="auto"/>
                <w:spacing w:val="5"/>
                <w:lang w:eastAsia="zh-CN"/>
              </w:rPr>
              <w:t>/</w:t>
            </w:r>
            <w:r>
              <w:rPr>
                <w:color w:val="auto"/>
                <w:spacing w:val="5"/>
                <w:lang w:eastAsia="zh-CN"/>
              </w:rPr>
              <w:t>器官术后并</w:t>
            </w:r>
            <w:r>
              <w:rPr>
                <w:color w:val="auto"/>
                <w:spacing w:val="9"/>
                <w:lang w:eastAsia="zh-CN"/>
              </w:rPr>
              <w:t>发症发生例数和发生率</w:t>
            </w:r>
          </w:p>
        </w:tc>
        <w:tc>
          <w:tcPr>
            <w:tcW w:w="175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5" w:firstLine="1"/>
              <w:jc w:val="both"/>
              <w:rPr>
                <w:color w:val="auto"/>
                <w:lang w:eastAsia="zh-CN"/>
              </w:rPr>
            </w:pPr>
            <w:r>
              <w:rPr>
                <w:rFonts w:ascii="Times New Roman" w:hAnsi="Times New Roman" w:eastAsia="Times New Roman" w:cs="Times New Roman"/>
                <w:color w:val="auto"/>
                <w:spacing w:val="-5"/>
                <w:lang w:eastAsia="zh-CN"/>
              </w:rPr>
              <w:t>ICD-10</w:t>
            </w:r>
            <w:r>
              <w:rPr>
                <w:color w:val="auto"/>
                <w:spacing w:val="-5"/>
                <w:lang w:eastAsia="zh-CN"/>
              </w:rPr>
              <w:t>编码：</w:t>
            </w:r>
            <w:r>
              <w:rPr>
                <w:rFonts w:ascii="Times New Roman" w:hAnsi="Times New Roman" w:eastAsia="Times New Roman" w:cs="Times New Roman"/>
                <w:color w:val="auto"/>
                <w:spacing w:val="-5"/>
                <w:lang w:eastAsia="zh-CN"/>
              </w:rPr>
              <w:t>K91.0</w:t>
            </w:r>
            <w:r>
              <w:rPr>
                <w:color w:val="auto"/>
                <w:spacing w:val="-5"/>
                <w:lang w:eastAsia="zh-CN"/>
              </w:rPr>
              <w:t>至</w:t>
            </w:r>
            <w:r>
              <w:rPr>
                <w:rFonts w:ascii="Times New Roman" w:hAnsi="Times New Roman" w:eastAsia="Times New Roman" w:cs="Times New Roman"/>
                <w:color w:val="auto"/>
                <w:spacing w:val="-5"/>
                <w:lang w:eastAsia="zh-CN"/>
              </w:rPr>
              <w:t>K91.9</w:t>
            </w:r>
            <w:r>
              <w:rPr>
                <w:color w:val="auto"/>
                <w:spacing w:val="-5"/>
                <w:lang w:eastAsia="zh-CN"/>
              </w:rPr>
              <w:t>，</w:t>
            </w:r>
            <w:r>
              <w:rPr>
                <w:rFonts w:ascii="Times New Roman" w:hAnsi="Times New Roman" w:eastAsia="Times New Roman" w:cs="Times New Roman"/>
                <w:color w:val="auto"/>
                <w:spacing w:val="-5"/>
                <w:lang w:eastAsia="zh-CN"/>
              </w:rPr>
              <w:t>I97.0</w:t>
            </w:r>
            <w:r>
              <w:rPr>
                <w:color w:val="auto"/>
                <w:spacing w:val="-5"/>
                <w:lang w:eastAsia="zh-CN"/>
              </w:rPr>
              <w:t>，</w:t>
            </w:r>
            <w:r>
              <w:rPr>
                <w:rFonts w:ascii="Times New Roman" w:hAnsi="Times New Roman" w:eastAsia="Times New Roman" w:cs="Times New Roman"/>
                <w:color w:val="auto"/>
                <w:spacing w:val="-5"/>
                <w:lang w:eastAsia="zh-CN"/>
              </w:rPr>
              <w:t>I97</w:t>
            </w:r>
            <w:r>
              <w:rPr>
                <w:rFonts w:ascii="Times New Roman" w:hAnsi="Times New Roman" w:eastAsia="Times New Roman" w:cs="Times New Roman"/>
                <w:color w:val="auto"/>
                <w:spacing w:val="-6"/>
                <w:lang w:eastAsia="zh-CN"/>
              </w:rPr>
              <w:t>.1</w:t>
            </w:r>
            <w:r>
              <w:rPr>
                <w:color w:val="auto"/>
                <w:spacing w:val="-6"/>
                <w:lang w:eastAsia="zh-CN"/>
              </w:rPr>
              <w:t>，</w:t>
            </w:r>
            <w:r>
              <w:rPr>
                <w:rFonts w:ascii="Times New Roman" w:hAnsi="Times New Roman" w:eastAsia="Times New Roman" w:cs="Times New Roman"/>
                <w:color w:val="auto"/>
                <w:spacing w:val="-4"/>
                <w:lang w:eastAsia="zh-CN"/>
              </w:rPr>
              <w:t>I97.8</w:t>
            </w:r>
            <w:r>
              <w:rPr>
                <w:color w:val="auto"/>
                <w:spacing w:val="-4"/>
                <w:lang w:eastAsia="zh-CN"/>
              </w:rPr>
              <w:t>，</w:t>
            </w:r>
            <w:r>
              <w:rPr>
                <w:rFonts w:ascii="Times New Roman" w:hAnsi="Times New Roman" w:eastAsia="Times New Roman" w:cs="Times New Roman"/>
                <w:color w:val="auto"/>
                <w:spacing w:val="-4"/>
                <w:lang w:eastAsia="zh-CN"/>
              </w:rPr>
              <w:t>I97.9</w:t>
            </w:r>
            <w:r>
              <w:rPr>
                <w:color w:val="auto"/>
                <w:spacing w:val="-4"/>
                <w:lang w:eastAsia="zh-CN"/>
              </w:rPr>
              <w:t>，</w:t>
            </w:r>
            <w:r>
              <w:rPr>
                <w:rFonts w:ascii="Times New Roman" w:hAnsi="Times New Roman" w:eastAsia="Times New Roman" w:cs="Times New Roman"/>
                <w:color w:val="auto"/>
                <w:spacing w:val="-4"/>
                <w:lang w:eastAsia="zh-CN"/>
              </w:rPr>
              <w:t>G97.0</w:t>
            </w:r>
            <w:r>
              <w:rPr>
                <w:color w:val="auto"/>
                <w:spacing w:val="-4"/>
                <w:lang w:eastAsia="zh-CN"/>
              </w:rPr>
              <w:t>，</w:t>
            </w:r>
            <w:r>
              <w:rPr>
                <w:rFonts w:ascii="Times New Roman" w:hAnsi="Times New Roman" w:eastAsia="Times New Roman" w:cs="Times New Roman"/>
                <w:color w:val="auto"/>
                <w:spacing w:val="-4"/>
                <w:lang w:eastAsia="zh-CN"/>
              </w:rPr>
              <w:t>G97.1</w:t>
            </w:r>
            <w:r>
              <w:rPr>
                <w:color w:val="auto"/>
                <w:spacing w:val="-4"/>
                <w:lang w:eastAsia="zh-CN"/>
              </w:rPr>
              <w:t>，</w:t>
            </w:r>
            <w:r>
              <w:rPr>
                <w:rFonts w:ascii="Times New Roman" w:hAnsi="Times New Roman" w:eastAsia="Times New Roman" w:cs="Times New Roman"/>
                <w:color w:val="auto"/>
                <w:spacing w:val="-4"/>
                <w:lang w:eastAsia="zh-CN"/>
              </w:rPr>
              <w:t>G97.</w:t>
            </w:r>
            <w:r>
              <w:rPr>
                <w:rFonts w:ascii="Times New Roman" w:hAnsi="Times New Roman" w:eastAsia="Times New Roman" w:cs="Times New Roman"/>
                <w:color w:val="auto"/>
                <w:spacing w:val="-5"/>
                <w:lang w:eastAsia="zh-CN"/>
              </w:rPr>
              <w:t>2</w:t>
            </w:r>
            <w:r>
              <w:rPr>
                <w:color w:val="auto"/>
                <w:spacing w:val="-5"/>
                <w:lang w:eastAsia="zh-CN"/>
              </w:rPr>
              <w:t>，</w:t>
            </w:r>
            <w:r>
              <w:rPr>
                <w:rFonts w:ascii="Times New Roman" w:hAnsi="Times New Roman" w:eastAsia="Times New Roman" w:cs="Times New Roman"/>
                <w:color w:val="auto"/>
                <w:spacing w:val="-5"/>
                <w:lang w:eastAsia="zh-CN"/>
              </w:rPr>
              <w:t>G97.8</w:t>
            </w:r>
            <w:r>
              <w:rPr>
                <w:color w:val="auto"/>
                <w:spacing w:val="-5"/>
                <w:lang w:eastAsia="zh-CN"/>
              </w:rPr>
              <w:t>，</w:t>
            </w:r>
            <w:r>
              <w:rPr>
                <w:rFonts w:ascii="Times New Roman" w:hAnsi="Times New Roman" w:eastAsia="Times New Roman" w:cs="Times New Roman"/>
                <w:color w:val="auto"/>
                <w:spacing w:val="-2"/>
                <w:lang w:eastAsia="zh-CN"/>
              </w:rPr>
              <w:t>G97.9</w:t>
            </w:r>
            <w:r>
              <w:rPr>
                <w:color w:val="auto"/>
                <w:spacing w:val="-2"/>
                <w:lang w:eastAsia="zh-CN"/>
              </w:rPr>
              <w:t>，</w:t>
            </w:r>
            <w:r>
              <w:rPr>
                <w:rFonts w:ascii="Times New Roman" w:hAnsi="Times New Roman" w:eastAsia="Times New Roman" w:cs="Times New Roman"/>
                <w:color w:val="auto"/>
                <w:spacing w:val="-2"/>
                <w:lang w:eastAsia="zh-CN"/>
              </w:rPr>
              <w:t>I60</w:t>
            </w:r>
            <w:r>
              <w:rPr>
                <w:color w:val="auto"/>
                <w:spacing w:val="-2"/>
                <w:lang w:eastAsia="zh-CN"/>
              </w:rPr>
              <w:t>至</w:t>
            </w:r>
            <w:r>
              <w:rPr>
                <w:rFonts w:ascii="Times New Roman" w:hAnsi="Times New Roman" w:eastAsia="Times New Roman" w:cs="Times New Roman"/>
                <w:color w:val="auto"/>
                <w:spacing w:val="-2"/>
                <w:lang w:eastAsia="zh-CN"/>
              </w:rPr>
              <w:t>I64</w:t>
            </w:r>
            <w:r>
              <w:rPr>
                <w:color w:val="auto"/>
                <w:spacing w:val="-2"/>
                <w:lang w:eastAsia="zh-CN"/>
              </w:rPr>
              <w:t>，</w:t>
            </w:r>
            <w:r>
              <w:rPr>
                <w:rFonts w:ascii="Times New Roman" w:hAnsi="Times New Roman" w:eastAsia="Times New Roman" w:cs="Times New Roman"/>
                <w:color w:val="auto"/>
                <w:spacing w:val="-2"/>
                <w:lang w:eastAsia="zh-CN"/>
              </w:rPr>
              <w:t>H59.0</w:t>
            </w:r>
            <w:r>
              <w:rPr>
                <w:color w:val="auto"/>
                <w:spacing w:val="-2"/>
                <w:lang w:eastAsia="zh-CN"/>
              </w:rPr>
              <w:t>，</w:t>
            </w:r>
            <w:r>
              <w:rPr>
                <w:rFonts w:ascii="Times New Roman" w:hAnsi="Times New Roman" w:eastAsia="Times New Roman" w:cs="Times New Roman"/>
                <w:color w:val="auto"/>
                <w:spacing w:val="-2"/>
                <w:lang w:eastAsia="zh-CN"/>
              </w:rPr>
              <w:t>H59</w:t>
            </w:r>
            <w:r>
              <w:rPr>
                <w:rFonts w:ascii="Times New Roman" w:hAnsi="Times New Roman" w:eastAsia="Times New Roman" w:cs="Times New Roman"/>
                <w:color w:val="auto"/>
                <w:spacing w:val="-3"/>
                <w:lang w:eastAsia="zh-CN"/>
              </w:rPr>
              <w:t>.8</w:t>
            </w:r>
            <w:r>
              <w:rPr>
                <w:color w:val="auto"/>
                <w:spacing w:val="-3"/>
                <w:lang w:eastAsia="zh-CN"/>
              </w:rPr>
              <w:t>，</w:t>
            </w:r>
            <w:r>
              <w:rPr>
                <w:rFonts w:ascii="Times New Roman" w:hAnsi="Times New Roman" w:eastAsia="Times New Roman" w:cs="Times New Roman"/>
                <w:color w:val="auto"/>
                <w:spacing w:val="-3"/>
                <w:lang w:eastAsia="zh-CN"/>
              </w:rPr>
              <w:t>H59.9</w:t>
            </w:r>
            <w:r>
              <w:rPr>
                <w:color w:val="auto"/>
                <w:spacing w:val="-3"/>
                <w:lang w:eastAsia="zh-CN"/>
              </w:rPr>
              <w:t>，</w:t>
            </w:r>
            <w:r>
              <w:rPr>
                <w:rFonts w:ascii="Times New Roman" w:hAnsi="Times New Roman" w:eastAsia="Times New Roman" w:cs="Times New Roman"/>
                <w:color w:val="auto"/>
                <w:spacing w:val="6"/>
                <w:lang w:eastAsia="zh-CN"/>
              </w:rPr>
              <w:t>H95.0</w:t>
            </w:r>
            <w:r>
              <w:rPr>
                <w:color w:val="auto"/>
                <w:spacing w:val="6"/>
                <w:lang w:eastAsia="zh-CN"/>
              </w:rPr>
              <w:t>，</w:t>
            </w:r>
            <w:r>
              <w:rPr>
                <w:rFonts w:ascii="Times New Roman" w:hAnsi="Times New Roman" w:eastAsia="Times New Roman" w:cs="Times New Roman"/>
                <w:color w:val="auto"/>
                <w:spacing w:val="6"/>
                <w:lang w:eastAsia="zh-CN"/>
              </w:rPr>
              <w:t>H95.1</w:t>
            </w:r>
            <w:r>
              <w:rPr>
                <w:color w:val="auto"/>
                <w:spacing w:val="6"/>
                <w:lang w:eastAsia="zh-CN"/>
              </w:rPr>
              <w:t>，</w:t>
            </w:r>
            <w:r>
              <w:rPr>
                <w:rFonts w:ascii="Times New Roman" w:hAnsi="Times New Roman" w:eastAsia="Times New Roman" w:cs="Times New Roman"/>
                <w:color w:val="auto"/>
                <w:spacing w:val="6"/>
                <w:lang w:eastAsia="zh-CN"/>
              </w:rPr>
              <w:t>H95.8</w:t>
            </w:r>
            <w:r>
              <w:rPr>
                <w:color w:val="auto"/>
                <w:spacing w:val="6"/>
                <w:lang w:eastAsia="zh-CN"/>
              </w:rPr>
              <w:t>，</w:t>
            </w:r>
            <w:r>
              <w:rPr>
                <w:rFonts w:ascii="Times New Roman" w:hAnsi="Times New Roman" w:eastAsia="Times New Roman" w:cs="Times New Roman"/>
                <w:color w:val="auto"/>
                <w:spacing w:val="6"/>
                <w:lang w:eastAsia="zh-CN"/>
              </w:rPr>
              <w:t>H95.9</w:t>
            </w:r>
            <w:r>
              <w:rPr>
                <w:color w:val="auto"/>
                <w:spacing w:val="6"/>
                <w:lang w:eastAsia="zh-CN"/>
              </w:rPr>
              <w:t>，</w:t>
            </w:r>
            <w:r>
              <w:rPr>
                <w:rFonts w:ascii="Times New Roman" w:hAnsi="Times New Roman" w:eastAsia="Times New Roman" w:cs="Times New Roman"/>
                <w:color w:val="auto"/>
                <w:spacing w:val="6"/>
                <w:lang w:eastAsia="zh-CN"/>
              </w:rPr>
              <w:t>M96.0</w:t>
            </w:r>
            <w:r>
              <w:rPr>
                <w:color w:val="auto"/>
                <w:spacing w:val="6"/>
                <w:lang w:eastAsia="zh-CN"/>
              </w:rPr>
              <w:t>至</w:t>
            </w:r>
            <w:r>
              <w:rPr>
                <w:rFonts w:ascii="Times New Roman" w:hAnsi="Times New Roman" w:eastAsia="Times New Roman" w:cs="Times New Roman"/>
                <w:color w:val="auto"/>
                <w:spacing w:val="1"/>
                <w:lang w:eastAsia="zh-CN"/>
              </w:rPr>
              <w:t>M96.9</w:t>
            </w:r>
            <w:r>
              <w:rPr>
                <w:color w:val="auto"/>
                <w:spacing w:val="1"/>
                <w:lang w:eastAsia="zh-CN"/>
              </w:rPr>
              <w:t>，</w:t>
            </w:r>
            <w:r>
              <w:rPr>
                <w:rFonts w:ascii="Times New Roman" w:hAnsi="Times New Roman" w:eastAsia="Times New Roman" w:cs="Times New Roman"/>
                <w:color w:val="auto"/>
                <w:spacing w:val="1"/>
                <w:lang w:eastAsia="zh-CN"/>
              </w:rPr>
              <w:t>N98.0</w:t>
            </w:r>
            <w:r>
              <w:rPr>
                <w:color w:val="auto"/>
                <w:spacing w:val="1"/>
                <w:lang w:eastAsia="zh-CN"/>
              </w:rPr>
              <w:t>至</w:t>
            </w:r>
            <w:r>
              <w:rPr>
                <w:rFonts w:ascii="Times New Roman" w:hAnsi="Times New Roman" w:eastAsia="Times New Roman" w:cs="Times New Roman"/>
                <w:color w:val="auto"/>
                <w:spacing w:val="1"/>
                <w:lang w:eastAsia="zh-CN"/>
              </w:rPr>
              <w:t>N99.9</w:t>
            </w:r>
            <w:r>
              <w:rPr>
                <w:color w:val="auto"/>
                <w:spacing w:val="1"/>
                <w:lang w:eastAsia="zh-CN"/>
              </w:rPr>
              <w:t>，</w:t>
            </w:r>
            <w:r>
              <w:rPr>
                <w:rFonts w:ascii="Times New Roman" w:hAnsi="Times New Roman" w:eastAsia="Times New Roman" w:cs="Times New Roman"/>
                <w:color w:val="auto"/>
                <w:spacing w:val="1"/>
                <w:lang w:eastAsia="zh-CN"/>
              </w:rPr>
              <w:t>K</w:t>
            </w:r>
            <w:r>
              <w:rPr>
                <w:rFonts w:ascii="Times New Roman" w:hAnsi="Times New Roman" w:eastAsia="Times New Roman" w:cs="Times New Roman"/>
                <w:color w:val="auto"/>
                <w:lang w:eastAsia="zh-CN"/>
              </w:rPr>
              <w:t>11.4</w:t>
            </w:r>
            <w:r>
              <w:rPr>
                <w:color w:val="auto"/>
                <w:lang w:eastAsia="zh-CN"/>
              </w:rPr>
              <w:t>，</w:t>
            </w:r>
            <w:r>
              <w:rPr>
                <w:rFonts w:ascii="Times New Roman" w:hAnsi="Times New Roman" w:eastAsia="Times New Roman" w:cs="Times New Roman"/>
                <w:color w:val="auto"/>
                <w:lang w:eastAsia="zh-CN"/>
              </w:rPr>
              <w:t>T81.2</w:t>
            </w:r>
            <w:r>
              <w:rPr>
                <w:color w:val="auto"/>
                <w:lang w:eastAsia="zh-CN"/>
              </w:rPr>
              <w:t>的</w:t>
            </w:r>
            <w:r>
              <w:rPr>
                <w:color w:val="auto"/>
                <w:spacing w:val="8"/>
                <w:lang w:eastAsia="zh-CN"/>
              </w:rPr>
              <w:t>手术出院患者手术后并发症发生例数；以</w:t>
            </w:r>
            <w:r>
              <w:rPr>
                <w:color w:val="auto"/>
                <w:spacing w:val="11"/>
                <w:lang w:eastAsia="zh-CN"/>
              </w:rPr>
              <w:t>及上述并发症发生例数占同期手术患者出</w:t>
            </w:r>
            <w:r>
              <w:rPr>
                <w:color w:val="auto"/>
                <w:spacing w:val="5"/>
                <w:lang w:eastAsia="zh-CN"/>
              </w:rPr>
              <w:t>院人次的比例。</w:t>
            </w:r>
          </w:p>
        </w:tc>
        <w:tc>
          <w:tcPr>
            <w:tcW w:w="2977" w:type="dxa"/>
          </w:tcPr>
          <w:p>
            <w:pPr>
              <w:spacing w:line="240" w:lineRule="exact"/>
              <w:rPr>
                <w:color w:val="auto"/>
                <w:lang w:eastAsia="zh-CN"/>
              </w:rPr>
            </w:pPr>
          </w:p>
          <w:p>
            <w:pPr>
              <w:pStyle w:val="8"/>
              <w:spacing w:before="0" w:line="240" w:lineRule="exact"/>
              <w:ind w:left="22" w:right="8" w:hanging="2"/>
              <w:jc w:val="both"/>
              <w:rPr>
                <w:rFonts w:ascii="Times New Roman" w:hAnsi="Times New Roman" w:eastAsia="Times New Roman" w:cs="Times New Roman"/>
                <w:color w:val="auto"/>
                <w:lang w:eastAsia="zh-CN"/>
              </w:rPr>
            </w:pPr>
            <w:r>
              <w:rPr>
                <w:color w:val="auto"/>
                <w:spacing w:val="20"/>
                <w:lang w:eastAsia="zh-CN"/>
              </w:rPr>
              <w:t>各系统</w:t>
            </w:r>
            <w:r>
              <w:rPr>
                <w:rFonts w:ascii="Times New Roman" w:hAnsi="Times New Roman" w:eastAsia="Times New Roman" w:cs="Times New Roman"/>
                <w:color w:val="auto"/>
                <w:spacing w:val="20"/>
                <w:lang w:eastAsia="zh-CN"/>
              </w:rPr>
              <w:t>/</w:t>
            </w:r>
            <w:r>
              <w:rPr>
                <w:color w:val="auto"/>
                <w:spacing w:val="20"/>
                <w:lang w:eastAsia="zh-CN"/>
              </w:rPr>
              <w:t>器官术后并发症发生率</w:t>
            </w:r>
            <w:r>
              <w:rPr>
                <w:rFonts w:ascii="Times New Roman" w:hAnsi="Times New Roman" w:eastAsia="Times New Roman" w:cs="Times New Roman"/>
                <w:color w:val="auto"/>
                <w:spacing w:val="20"/>
                <w:lang w:eastAsia="zh-CN"/>
              </w:rPr>
              <w:t>=</w:t>
            </w:r>
            <w:r>
              <w:rPr>
                <w:color w:val="auto"/>
                <w:spacing w:val="5"/>
                <w:lang w:eastAsia="zh-CN"/>
              </w:rPr>
              <w:t>手术患者消化、循环、神经、眼和附器、耳和乳突、肌肉骨髂、泌尿</w:t>
            </w:r>
            <w:r>
              <w:rPr>
                <w:color w:val="auto"/>
                <w:spacing w:val="11"/>
                <w:lang w:eastAsia="zh-CN"/>
              </w:rPr>
              <w:t>生殖、口腔等系统</w:t>
            </w:r>
            <w:r>
              <w:rPr>
                <w:rFonts w:ascii="Times New Roman" w:hAnsi="Times New Roman" w:eastAsia="Times New Roman" w:cs="Times New Roman"/>
                <w:color w:val="auto"/>
                <w:spacing w:val="11"/>
                <w:lang w:eastAsia="zh-CN"/>
              </w:rPr>
              <w:t>/</w:t>
            </w:r>
            <w:r>
              <w:rPr>
                <w:color w:val="auto"/>
                <w:spacing w:val="11"/>
                <w:lang w:eastAsia="zh-CN"/>
              </w:rPr>
              <w:t>器官相关疾病</w:t>
            </w:r>
            <w:r>
              <w:rPr>
                <w:color w:val="auto"/>
                <w:spacing w:val="14"/>
                <w:lang w:eastAsia="zh-CN"/>
              </w:rPr>
              <w:t>术后并发症发生例数</w:t>
            </w:r>
            <w:r>
              <w:rPr>
                <w:rFonts w:ascii="Times New Roman" w:hAnsi="Times New Roman" w:eastAsia="Times New Roman" w:cs="Times New Roman"/>
                <w:color w:val="auto"/>
                <w:spacing w:val="14"/>
                <w:lang w:eastAsia="zh-CN"/>
              </w:rPr>
              <w:t>/</w:t>
            </w:r>
            <w:r>
              <w:rPr>
                <w:color w:val="auto"/>
                <w:spacing w:val="14"/>
                <w:lang w:eastAsia="zh-CN"/>
              </w:rPr>
              <w:t>同期手术患</w:t>
            </w:r>
            <w:r>
              <w:rPr>
                <w:color w:val="auto"/>
                <w:spacing w:val="4"/>
                <w:lang w:eastAsia="zh-CN"/>
              </w:rPr>
              <w:t>者出院人次</w:t>
            </w:r>
            <w:r>
              <w:rPr>
                <w:rFonts w:ascii="Times New Roman" w:hAnsi="Times New Roman" w:eastAsia="Times New Roman" w:cs="Times New Roman"/>
                <w:color w:val="auto"/>
                <w:spacing w:val="4"/>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11" w:right="12" w:firstLine="2"/>
              <w:jc w:val="both"/>
              <w:rPr>
                <w:color w:val="auto"/>
                <w:lang w:eastAsia="zh-CN"/>
              </w:rPr>
            </w:pPr>
            <w:r>
              <w:rPr>
                <w:color w:val="auto"/>
                <w:spacing w:val="-6"/>
                <w:lang w:eastAsia="zh-CN"/>
              </w:rPr>
              <w:t>（十六）植入物的并发症（不</w:t>
            </w:r>
            <w:r>
              <w:rPr>
                <w:color w:val="auto"/>
                <w:spacing w:val="10"/>
                <w:lang w:eastAsia="zh-CN"/>
              </w:rPr>
              <w:t>包括脓毒症）发生例数和发</w:t>
            </w:r>
            <w:r>
              <w:rPr>
                <w:color w:val="auto"/>
                <w:spacing w:val="8"/>
                <w:lang w:eastAsia="zh-CN"/>
              </w:rPr>
              <w:t>生率</w:t>
            </w:r>
          </w:p>
        </w:tc>
        <w:tc>
          <w:tcPr>
            <w:tcW w:w="175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7" w:right="10"/>
              <w:jc w:val="both"/>
              <w:rPr>
                <w:color w:val="auto"/>
                <w:lang w:eastAsia="zh-CN"/>
              </w:rPr>
            </w:pPr>
            <w:r>
              <w:rPr>
                <w:rFonts w:ascii="Times New Roman" w:hAnsi="Times New Roman" w:eastAsia="Times New Roman" w:cs="Times New Roman"/>
                <w:color w:val="auto"/>
                <w:lang w:eastAsia="zh-CN"/>
              </w:rPr>
              <w:t>ICD-10</w:t>
            </w:r>
            <w:r>
              <w:rPr>
                <w:color w:val="auto"/>
                <w:lang w:eastAsia="zh-CN"/>
              </w:rPr>
              <w:t>编码：</w:t>
            </w:r>
            <w:r>
              <w:rPr>
                <w:rFonts w:ascii="Times New Roman" w:hAnsi="Times New Roman" w:eastAsia="Times New Roman" w:cs="Times New Roman"/>
                <w:color w:val="auto"/>
                <w:lang w:eastAsia="zh-CN"/>
              </w:rPr>
              <w:t>T82.0</w:t>
            </w:r>
            <w:r>
              <w:rPr>
                <w:color w:val="auto"/>
                <w:lang w:eastAsia="zh-CN"/>
              </w:rPr>
              <w:t>至</w:t>
            </w:r>
            <w:r>
              <w:rPr>
                <w:rFonts w:ascii="Times New Roman" w:hAnsi="Times New Roman" w:eastAsia="Times New Roman" w:cs="Times New Roman"/>
                <w:color w:val="auto"/>
                <w:lang w:eastAsia="zh-CN"/>
              </w:rPr>
              <w:t>T82.9</w:t>
            </w:r>
            <w:r>
              <w:rPr>
                <w:color w:val="auto"/>
                <w:lang w:eastAsia="zh-CN"/>
              </w:rPr>
              <w:t>，</w:t>
            </w:r>
            <w:r>
              <w:rPr>
                <w:rFonts w:ascii="Times New Roman" w:hAnsi="Times New Roman" w:eastAsia="Times New Roman" w:cs="Times New Roman"/>
                <w:color w:val="auto"/>
                <w:lang w:eastAsia="zh-CN"/>
              </w:rPr>
              <w:t>T83.</w:t>
            </w:r>
            <w:r>
              <w:rPr>
                <w:rFonts w:ascii="Times New Roman" w:hAnsi="Times New Roman" w:eastAsia="Times New Roman" w:cs="Times New Roman"/>
                <w:color w:val="auto"/>
                <w:spacing w:val="-1"/>
                <w:lang w:eastAsia="zh-CN"/>
              </w:rPr>
              <w:t>0</w:t>
            </w:r>
            <w:r>
              <w:rPr>
                <w:color w:val="auto"/>
                <w:spacing w:val="-1"/>
                <w:lang w:eastAsia="zh-CN"/>
              </w:rPr>
              <w:t>至</w:t>
            </w:r>
            <w:r>
              <w:rPr>
                <w:rFonts w:ascii="Times New Roman" w:hAnsi="Times New Roman" w:eastAsia="Times New Roman" w:cs="Times New Roman"/>
                <w:color w:val="auto"/>
                <w:spacing w:val="4"/>
                <w:lang w:eastAsia="zh-CN"/>
              </w:rPr>
              <w:t>T83.9</w:t>
            </w:r>
            <w:r>
              <w:rPr>
                <w:color w:val="auto"/>
                <w:spacing w:val="4"/>
                <w:lang w:eastAsia="zh-CN"/>
              </w:rPr>
              <w:t>，</w:t>
            </w:r>
            <w:r>
              <w:rPr>
                <w:rFonts w:ascii="Times New Roman" w:hAnsi="Times New Roman" w:eastAsia="Times New Roman" w:cs="Times New Roman"/>
                <w:color w:val="auto"/>
                <w:spacing w:val="4"/>
                <w:lang w:eastAsia="zh-CN"/>
              </w:rPr>
              <w:t>T84.0</w:t>
            </w:r>
            <w:r>
              <w:rPr>
                <w:color w:val="auto"/>
                <w:spacing w:val="4"/>
                <w:lang w:eastAsia="zh-CN"/>
              </w:rPr>
              <w:t>至</w:t>
            </w:r>
            <w:r>
              <w:rPr>
                <w:rFonts w:ascii="Times New Roman" w:hAnsi="Times New Roman" w:eastAsia="Times New Roman" w:cs="Times New Roman"/>
                <w:color w:val="auto"/>
                <w:spacing w:val="4"/>
                <w:lang w:eastAsia="zh-CN"/>
              </w:rPr>
              <w:t>T84.9</w:t>
            </w:r>
            <w:r>
              <w:rPr>
                <w:color w:val="auto"/>
                <w:spacing w:val="4"/>
                <w:lang w:eastAsia="zh-CN"/>
              </w:rPr>
              <w:t>，</w:t>
            </w:r>
            <w:r>
              <w:rPr>
                <w:rFonts w:ascii="Times New Roman" w:hAnsi="Times New Roman" w:eastAsia="Times New Roman" w:cs="Times New Roman"/>
                <w:color w:val="auto"/>
                <w:spacing w:val="4"/>
                <w:lang w:eastAsia="zh-CN"/>
              </w:rPr>
              <w:t>T</w:t>
            </w:r>
            <w:r>
              <w:rPr>
                <w:rFonts w:ascii="Times New Roman" w:hAnsi="Times New Roman" w:eastAsia="Times New Roman" w:cs="Times New Roman"/>
                <w:color w:val="auto"/>
                <w:spacing w:val="3"/>
                <w:lang w:eastAsia="zh-CN"/>
              </w:rPr>
              <w:t>85.0</w:t>
            </w:r>
            <w:r>
              <w:rPr>
                <w:color w:val="auto"/>
                <w:spacing w:val="3"/>
                <w:lang w:eastAsia="zh-CN"/>
              </w:rPr>
              <w:t>至</w:t>
            </w:r>
            <w:r>
              <w:rPr>
                <w:rFonts w:ascii="Times New Roman" w:hAnsi="Times New Roman" w:eastAsia="Times New Roman" w:cs="Times New Roman"/>
                <w:color w:val="auto"/>
                <w:spacing w:val="3"/>
                <w:lang w:eastAsia="zh-CN"/>
              </w:rPr>
              <w:t>T85.9</w:t>
            </w:r>
            <w:r>
              <w:rPr>
                <w:color w:val="auto"/>
                <w:spacing w:val="3"/>
                <w:lang w:eastAsia="zh-CN"/>
              </w:rPr>
              <w:t>的</w:t>
            </w:r>
            <w:r>
              <w:rPr>
                <w:color w:val="auto"/>
                <w:spacing w:val="13"/>
                <w:lang w:eastAsia="zh-CN"/>
              </w:rPr>
              <w:t>手术出院患者植入物的并发症（不包括脓</w:t>
            </w:r>
            <w:r>
              <w:rPr>
                <w:color w:val="auto"/>
                <w:spacing w:val="10"/>
                <w:lang w:eastAsia="zh-CN"/>
              </w:rPr>
              <w:t>毒症）发生例数，以及上述手术患者植入</w:t>
            </w:r>
            <w:r>
              <w:rPr>
                <w:color w:val="auto"/>
                <w:spacing w:val="13"/>
                <w:lang w:eastAsia="zh-CN"/>
              </w:rPr>
              <w:t>物的并发症（不包括脓毒症）发生例数占</w:t>
            </w:r>
            <w:r>
              <w:rPr>
                <w:color w:val="auto"/>
                <w:spacing w:val="8"/>
                <w:lang w:eastAsia="zh-CN"/>
              </w:rPr>
              <w:t>同期手术患者出院人次的比例。</w:t>
            </w:r>
          </w:p>
        </w:tc>
        <w:tc>
          <w:tcPr>
            <w:tcW w:w="2977" w:type="dxa"/>
          </w:tcPr>
          <w:p>
            <w:pPr>
              <w:spacing w:line="240" w:lineRule="exact"/>
              <w:rPr>
                <w:color w:val="auto"/>
                <w:lang w:eastAsia="zh-CN"/>
              </w:rPr>
            </w:pPr>
          </w:p>
          <w:p>
            <w:pPr>
              <w:pStyle w:val="8"/>
              <w:spacing w:before="0" w:line="240" w:lineRule="exact"/>
              <w:ind w:left="20" w:hanging="4"/>
              <w:jc w:val="both"/>
              <w:rPr>
                <w:rFonts w:ascii="Times New Roman" w:hAnsi="Times New Roman" w:eastAsia="Times New Roman" w:cs="Times New Roman"/>
                <w:color w:val="auto"/>
                <w:lang w:eastAsia="zh-CN"/>
              </w:rPr>
            </w:pPr>
            <w:r>
              <w:rPr>
                <w:color w:val="auto"/>
                <w:spacing w:val="7"/>
                <w:lang w:eastAsia="zh-CN"/>
              </w:rPr>
              <w:t>植入物的并发症（不包括脓毒症）</w:t>
            </w:r>
            <w:r>
              <w:rPr>
                <w:color w:val="auto"/>
                <w:spacing w:val="9"/>
                <w:lang w:eastAsia="zh-CN"/>
              </w:rPr>
              <w:t>发生率</w:t>
            </w:r>
            <w:r>
              <w:rPr>
                <w:rFonts w:ascii="Times New Roman" w:hAnsi="Times New Roman" w:eastAsia="Times New Roman" w:cs="Times New Roman"/>
                <w:color w:val="auto"/>
                <w:spacing w:val="9"/>
                <w:lang w:eastAsia="zh-CN"/>
              </w:rPr>
              <w:t>=</w:t>
            </w:r>
            <w:r>
              <w:rPr>
                <w:color w:val="auto"/>
                <w:spacing w:val="9"/>
                <w:lang w:eastAsia="zh-CN"/>
              </w:rPr>
              <w:t>植入物的并发症（不包括</w:t>
            </w:r>
            <w:r>
              <w:rPr>
                <w:color w:val="auto"/>
                <w:spacing w:val="12"/>
                <w:lang w:eastAsia="zh-CN"/>
              </w:rPr>
              <w:t>脓毒症）发生例数</w:t>
            </w:r>
            <w:r>
              <w:rPr>
                <w:rFonts w:ascii="Times New Roman" w:hAnsi="Times New Roman" w:eastAsia="Times New Roman" w:cs="Times New Roman"/>
                <w:color w:val="auto"/>
                <w:spacing w:val="12"/>
                <w:lang w:eastAsia="zh-CN"/>
              </w:rPr>
              <w:t>/</w:t>
            </w:r>
            <w:r>
              <w:rPr>
                <w:color w:val="auto"/>
                <w:spacing w:val="12"/>
                <w:lang w:eastAsia="zh-CN"/>
              </w:rPr>
              <w:t>同期手术患者</w:t>
            </w:r>
            <w:r>
              <w:rPr>
                <w:color w:val="auto"/>
                <w:spacing w:val="2"/>
                <w:lang w:eastAsia="zh-CN"/>
              </w:rPr>
              <w:t>出院人次</w:t>
            </w:r>
            <w:r>
              <w:rPr>
                <w:rFonts w:ascii="Times New Roman" w:hAnsi="Times New Roman" w:eastAsia="Times New Roman" w:cs="Times New Roman"/>
                <w:color w:val="auto"/>
                <w:spacing w:val="2"/>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bl>
    <w:p>
      <w:pPr>
        <w:autoSpaceDE/>
        <w:autoSpaceDN/>
        <w:spacing w:line="20" w:lineRule="exact"/>
        <w:rPr>
          <w:color w:val="auto"/>
          <w:sz w:val="9"/>
        </w:rPr>
      </w:pPr>
    </w:p>
    <w:p>
      <w:pPr>
        <w:autoSpaceDE/>
        <w:autoSpaceDN/>
        <w:spacing w:line="20" w:lineRule="exact"/>
        <w:rPr>
          <w:color w:val="auto"/>
          <w:sz w:val="9"/>
          <w:szCs w:val="9"/>
        </w:rPr>
        <w:sectPr>
          <w:footerReference r:id="rId24" w:type="default"/>
          <w:pgSz w:w="16839" w:h="11906"/>
          <w:pgMar w:top="1012" w:right="1260"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434"/>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4" w:type="dxa"/>
          </w:tcPr>
          <w:p>
            <w:pPr>
              <w:spacing w:before="0" w:line="240" w:lineRule="exact"/>
              <w:ind w:left="333"/>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tcPr>
          <w:p>
            <w:pPr>
              <w:spacing w:before="0" w:line="240" w:lineRule="exact"/>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0" w:line="240" w:lineRule="exact"/>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0" w:line="240" w:lineRule="exact"/>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0" w:line="240" w:lineRule="exact"/>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0" w:line="240" w:lineRule="exact"/>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0" w:line="240" w:lineRule="exact"/>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54" w:type="dxa"/>
            <w:vMerge w:val="restart"/>
            <w:tcBorders>
              <w:bottom w:val="nil"/>
            </w:tcBorders>
          </w:tcPr>
          <w:p>
            <w:pPr>
              <w:spacing w:line="240" w:lineRule="exact"/>
              <w:rPr>
                <w:color w:val="auto"/>
              </w:rPr>
            </w:pPr>
          </w:p>
        </w:tc>
        <w:tc>
          <w:tcPr>
            <w:tcW w:w="2434" w:type="dxa"/>
          </w:tcPr>
          <w:p>
            <w:pPr>
              <w:pStyle w:val="8"/>
              <w:spacing w:before="0" w:line="240" w:lineRule="exact"/>
              <w:ind w:left="17" w:right="14" w:hanging="3"/>
              <w:rPr>
                <w:color w:val="auto"/>
                <w:lang w:eastAsia="zh-CN"/>
              </w:rPr>
            </w:pPr>
            <w:r>
              <w:rPr>
                <w:color w:val="auto"/>
                <w:spacing w:val="10"/>
                <w:lang w:eastAsia="zh-CN"/>
              </w:rPr>
              <w:t>（十七）再植和截肢的并发</w:t>
            </w:r>
            <w:r>
              <w:rPr>
                <w:color w:val="auto"/>
                <w:spacing w:val="9"/>
                <w:lang w:eastAsia="zh-CN"/>
              </w:rPr>
              <w:t>症发生例数和发生率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9" w:right="10" w:hanging="2"/>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T87.0</w:t>
            </w:r>
            <w:r>
              <w:rPr>
                <w:color w:val="auto"/>
                <w:spacing w:val="1"/>
                <w:lang w:eastAsia="zh-CN"/>
              </w:rPr>
              <w:t>至</w:t>
            </w:r>
            <w:r>
              <w:rPr>
                <w:rFonts w:ascii="Times New Roman" w:hAnsi="Times New Roman" w:eastAsia="Times New Roman" w:cs="Times New Roman"/>
                <w:color w:val="auto"/>
                <w:spacing w:val="1"/>
                <w:lang w:eastAsia="zh-CN"/>
              </w:rPr>
              <w:t>T87.6</w:t>
            </w:r>
            <w:r>
              <w:rPr>
                <w:color w:val="auto"/>
                <w:spacing w:val="1"/>
                <w:lang w:eastAsia="zh-CN"/>
              </w:rPr>
              <w:t>的再</w:t>
            </w:r>
            <w:r>
              <w:rPr>
                <w:color w:val="auto"/>
                <w:lang w:eastAsia="zh-CN"/>
              </w:rPr>
              <w:t>植和截肢</w:t>
            </w:r>
            <w:r>
              <w:rPr>
                <w:color w:val="auto"/>
                <w:spacing w:val="10"/>
                <w:lang w:eastAsia="zh-CN"/>
              </w:rPr>
              <w:t>并发症发生例数；以及再植和截肢并发症</w:t>
            </w:r>
            <w:r>
              <w:rPr>
                <w:color w:val="auto"/>
                <w:spacing w:val="13"/>
                <w:lang w:eastAsia="zh-CN"/>
              </w:rPr>
              <w:t>发生例数占同期再植和截肢患者出院人次</w:t>
            </w:r>
            <w:r>
              <w:rPr>
                <w:color w:val="auto"/>
                <w:spacing w:val="5"/>
                <w:lang w:eastAsia="zh-CN"/>
              </w:rPr>
              <w:t>的比例。</w:t>
            </w:r>
          </w:p>
        </w:tc>
        <w:tc>
          <w:tcPr>
            <w:tcW w:w="2977" w:type="dxa"/>
          </w:tcPr>
          <w:p>
            <w:pPr>
              <w:pStyle w:val="8"/>
              <w:spacing w:before="0" w:line="240" w:lineRule="exact"/>
              <w:ind w:left="26" w:right="11"/>
              <w:jc w:val="both"/>
              <w:rPr>
                <w:rFonts w:ascii="Times New Roman" w:hAnsi="Times New Roman" w:eastAsia="Times New Roman" w:cs="Times New Roman"/>
                <w:color w:val="auto"/>
                <w:lang w:eastAsia="zh-CN"/>
              </w:rPr>
            </w:pPr>
            <w:r>
              <w:rPr>
                <w:color w:val="auto"/>
                <w:spacing w:val="11"/>
                <w:lang w:eastAsia="zh-CN"/>
              </w:rPr>
              <w:t>再植和截肢的并发症发生率</w:t>
            </w:r>
            <w:r>
              <w:rPr>
                <w:rFonts w:ascii="Times New Roman" w:hAnsi="Times New Roman" w:eastAsia="Times New Roman" w:cs="Times New Roman"/>
                <w:color w:val="auto"/>
                <w:spacing w:val="11"/>
                <w:lang w:eastAsia="zh-CN"/>
              </w:rPr>
              <w:t>=</w:t>
            </w:r>
            <w:r>
              <w:rPr>
                <w:color w:val="auto"/>
                <w:spacing w:val="11"/>
                <w:lang w:eastAsia="zh-CN"/>
              </w:rPr>
              <w:t>再植</w:t>
            </w:r>
            <w:r>
              <w:rPr>
                <w:color w:val="auto"/>
                <w:spacing w:val="14"/>
                <w:lang w:eastAsia="zh-CN"/>
              </w:rPr>
              <w:t>和截肢并发症发生例数</w:t>
            </w:r>
            <w:r>
              <w:rPr>
                <w:rFonts w:ascii="Times New Roman" w:hAnsi="Times New Roman" w:eastAsia="Times New Roman" w:cs="Times New Roman"/>
                <w:color w:val="auto"/>
                <w:spacing w:val="14"/>
                <w:lang w:eastAsia="zh-CN"/>
              </w:rPr>
              <w:t>/</w:t>
            </w:r>
            <w:r>
              <w:rPr>
                <w:color w:val="auto"/>
                <w:spacing w:val="14"/>
                <w:lang w:eastAsia="zh-CN"/>
              </w:rPr>
              <w:t>同期再植</w:t>
            </w:r>
            <w:r>
              <w:rPr>
                <w:color w:val="auto"/>
                <w:spacing w:val="5"/>
                <w:lang w:eastAsia="zh-CN"/>
              </w:rPr>
              <w:t>和截肢患者出院人次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7" w:right="14" w:hanging="3"/>
              <w:rPr>
                <w:color w:val="auto"/>
                <w:lang w:eastAsia="zh-CN"/>
              </w:rPr>
            </w:pPr>
            <w:r>
              <w:rPr>
                <w:color w:val="auto"/>
                <w:spacing w:val="10"/>
                <w:lang w:eastAsia="zh-CN"/>
              </w:rPr>
              <w:t>（十八）手术后患者其他并</w:t>
            </w:r>
            <w:r>
              <w:rPr>
                <w:color w:val="auto"/>
                <w:spacing w:val="9"/>
                <w:lang w:eastAsia="zh-CN"/>
              </w:rPr>
              <w:t>发症发生例数和发生率</w:t>
            </w:r>
          </w:p>
        </w:tc>
        <w:tc>
          <w:tcPr>
            <w:tcW w:w="1751" w:type="dxa"/>
          </w:tcPr>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2" w:right="7" w:hanging="5"/>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T81.1,T81.7,T81.8,T81.9</w:t>
            </w:r>
            <w:r>
              <w:rPr>
                <w:color w:val="auto"/>
                <w:spacing w:val="1"/>
                <w:lang w:eastAsia="zh-CN"/>
              </w:rPr>
              <w:t>手术</w:t>
            </w:r>
            <w:r>
              <w:rPr>
                <w:color w:val="auto"/>
                <w:spacing w:val="10"/>
                <w:lang w:eastAsia="zh-CN"/>
              </w:rPr>
              <w:t>后患者其他并发症发生例数；以及手术后</w:t>
            </w:r>
            <w:r>
              <w:rPr>
                <w:color w:val="auto"/>
                <w:spacing w:val="13"/>
                <w:lang w:eastAsia="zh-CN"/>
              </w:rPr>
              <w:t>患者其他并发症发生例数占同期介入操作</w:t>
            </w:r>
            <w:r>
              <w:rPr>
                <w:color w:val="auto"/>
                <w:spacing w:val="8"/>
                <w:lang w:eastAsia="zh-CN"/>
              </w:rPr>
              <w:t>与手术患者出院人次的比例。</w:t>
            </w:r>
          </w:p>
        </w:tc>
        <w:tc>
          <w:tcPr>
            <w:tcW w:w="2977" w:type="dxa"/>
          </w:tcPr>
          <w:p>
            <w:pPr>
              <w:pStyle w:val="8"/>
              <w:spacing w:before="0" w:line="240" w:lineRule="exact"/>
              <w:ind w:left="23" w:right="11" w:firstLine="6"/>
              <w:jc w:val="both"/>
              <w:rPr>
                <w:rFonts w:ascii="Times New Roman" w:hAnsi="Times New Roman" w:eastAsia="Times New Roman" w:cs="Times New Roman"/>
                <w:color w:val="auto"/>
                <w:lang w:eastAsia="zh-CN"/>
              </w:rPr>
            </w:pPr>
            <w:r>
              <w:rPr>
                <w:color w:val="auto"/>
                <w:spacing w:val="10"/>
                <w:lang w:eastAsia="zh-CN"/>
              </w:rPr>
              <w:t>手术后患者其他并发症发生率</w:t>
            </w:r>
            <w:r>
              <w:rPr>
                <w:rFonts w:ascii="Times New Roman" w:hAnsi="Times New Roman" w:eastAsia="Times New Roman" w:cs="Times New Roman"/>
                <w:color w:val="auto"/>
                <w:spacing w:val="10"/>
                <w:lang w:eastAsia="zh-CN"/>
              </w:rPr>
              <w:t>=</w:t>
            </w:r>
            <w:r>
              <w:rPr>
                <w:color w:val="auto"/>
                <w:spacing w:val="10"/>
                <w:lang w:eastAsia="zh-CN"/>
              </w:rPr>
              <w:t>手</w:t>
            </w:r>
            <w:r>
              <w:rPr>
                <w:color w:val="auto"/>
                <w:spacing w:val="14"/>
                <w:lang w:eastAsia="zh-CN"/>
              </w:rPr>
              <w:t>术后患者其他并发症发生例数</w:t>
            </w:r>
            <w:r>
              <w:rPr>
                <w:rFonts w:ascii="Times New Roman" w:hAnsi="Times New Roman" w:eastAsia="Times New Roman" w:cs="Times New Roman"/>
                <w:color w:val="auto"/>
                <w:spacing w:val="14"/>
                <w:lang w:eastAsia="zh-CN"/>
              </w:rPr>
              <w:t>/</w:t>
            </w:r>
            <w:r>
              <w:rPr>
                <w:color w:val="auto"/>
                <w:spacing w:val="14"/>
                <w:lang w:eastAsia="zh-CN"/>
              </w:rPr>
              <w:t>同</w:t>
            </w:r>
            <w:r>
              <w:rPr>
                <w:color w:val="auto"/>
                <w:spacing w:val="6"/>
                <w:lang w:eastAsia="zh-CN"/>
              </w:rPr>
              <w:t>期手术患者出院人次</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054" w:type="dxa"/>
            <w:vMerge w:val="continue"/>
            <w:tcBorders>
              <w:top w:val="nil"/>
              <w:bottom w:val="nil"/>
            </w:tcBorders>
          </w:tcPr>
          <w:p>
            <w:pPr>
              <w:spacing w:line="240" w:lineRule="exact"/>
              <w:rPr>
                <w:color w:val="auto"/>
              </w:rPr>
            </w:pPr>
          </w:p>
        </w:tc>
        <w:tc>
          <w:tcPr>
            <w:tcW w:w="2434" w:type="dxa"/>
          </w:tcPr>
          <w:p>
            <w:pPr>
              <w:spacing w:line="240" w:lineRule="exact"/>
              <w:rPr>
                <w:color w:val="auto"/>
                <w:lang w:eastAsia="zh-CN"/>
              </w:rPr>
            </w:pPr>
          </w:p>
          <w:p>
            <w:pPr>
              <w:pStyle w:val="8"/>
              <w:spacing w:before="0" w:line="240" w:lineRule="exact"/>
              <w:ind w:left="21" w:right="14" w:hanging="7"/>
              <w:rPr>
                <w:color w:val="auto"/>
                <w:lang w:eastAsia="zh-CN"/>
              </w:rPr>
            </w:pPr>
            <w:r>
              <w:rPr>
                <w:color w:val="auto"/>
                <w:spacing w:val="12"/>
                <w:lang w:eastAsia="zh-CN"/>
              </w:rPr>
              <w:t>（十九）</w:t>
            </w:r>
            <w:r>
              <w:rPr>
                <w:rFonts w:ascii="Times New Roman" w:hAnsi="Times New Roman" w:eastAsia="Times New Roman" w:cs="Times New Roman"/>
                <w:color w:val="auto"/>
                <w:spacing w:val="12"/>
                <w:lang w:eastAsia="zh-CN"/>
              </w:rPr>
              <w:t>2</w:t>
            </w:r>
            <w:r>
              <w:rPr>
                <w:color w:val="auto"/>
                <w:spacing w:val="12"/>
                <w:lang w:eastAsia="zh-CN"/>
              </w:rPr>
              <w:t>期及以上院内压</w:t>
            </w:r>
            <w:r>
              <w:rPr>
                <w:color w:val="auto"/>
                <w:spacing w:val="8"/>
                <w:lang w:eastAsia="zh-CN"/>
              </w:rPr>
              <w:t>力性损伤发生例数及发生率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6" w:right="8"/>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2"/>
                <w:lang w:eastAsia="zh-CN"/>
              </w:rPr>
              <w:t>-10</w:t>
            </w:r>
            <w:r>
              <w:rPr>
                <w:color w:val="auto"/>
                <w:spacing w:val="2"/>
                <w:lang w:eastAsia="zh-CN"/>
              </w:rPr>
              <w:t>编码：</w:t>
            </w:r>
            <w:r>
              <w:rPr>
                <w:rFonts w:ascii="Times New Roman" w:hAnsi="Times New Roman" w:eastAsia="Times New Roman" w:cs="Times New Roman"/>
                <w:color w:val="auto"/>
                <w:spacing w:val="2"/>
                <w:lang w:eastAsia="zh-CN"/>
              </w:rPr>
              <w:t>L89.1</w:t>
            </w:r>
            <w:r>
              <w:rPr>
                <w:color w:val="auto"/>
                <w:spacing w:val="2"/>
                <w:lang w:eastAsia="zh-CN"/>
              </w:rPr>
              <w:t>，</w:t>
            </w:r>
            <w:r>
              <w:rPr>
                <w:rFonts w:ascii="Times New Roman" w:hAnsi="Times New Roman" w:eastAsia="Times New Roman" w:cs="Times New Roman"/>
                <w:color w:val="auto"/>
                <w:spacing w:val="2"/>
                <w:lang w:eastAsia="zh-CN"/>
              </w:rPr>
              <w:t>L89.2</w:t>
            </w:r>
            <w:r>
              <w:rPr>
                <w:color w:val="auto"/>
                <w:spacing w:val="2"/>
                <w:lang w:eastAsia="zh-CN"/>
              </w:rPr>
              <w:t>，</w:t>
            </w:r>
            <w:r>
              <w:rPr>
                <w:rFonts w:ascii="Times New Roman" w:hAnsi="Times New Roman" w:eastAsia="Times New Roman" w:cs="Times New Roman"/>
                <w:color w:val="auto"/>
                <w:spacing w:val="2"/>
                <w:lang w:eastAsia="zh-CN"/>
              </w:rPr>
              <w:t>L89.3</w:t>
            </w:r>
            <w:r>
              <w:rPr>
                <w:color w:val="auto"/>
                <w:spacing w:val="2"/>
                <w:lang w:eastAsia="zh-CN"/>
              </w:rPr>
              <w:t>，</w:t>
            </w:r>
            <w:r>
              <w:rPr>
                <w:rFonts w:ascii="Times New Roman" w:hAnsi="Times New Roman" w:eastAsia="Times New Roman" w:cs="Times New Roman"/>
                <w:color w:val="auto"/>
                <w:spacing w:val="2"/>
                <w:lang w:eastAsia="zh-CN"/>
              </w:rPr>
              <w:t>L89.9</w:t>
            </w:r>
            <w:r>
              <w:rPr>
                <w:color w:val="auto"/>
                <w:spacing w:val="12"/>
                <w:lang w:eastAsia="zh-CN"/>
              </w:rPr>
              <w:t>的出院患者</w:t>
            </w:r>
            <w:r>
              <w:rPr>
                <w:rFonts w:ascii="Times New Roman" w:hAnsi="Times New Roman" w:eastAsia="Times New Roman" w:cs="Times New Roman"/>
                <w:color w:val="auto"/>
                <w:spacing w:val="12"/>
                <w:lang w:eastAsia="zh-CN"/>
              </w:rPr>
              <w:t>2</w:t>
            </w:r>
            <w:r>
              <w:rPr>
                <w:color w:val="auto"/>
                <w:spacing w:val="12"/>
                <w:lang w:eastAsia="zh-CN"/>
              </w:rPr>
              <w:t>期及以上院内压力性损伤发</w:t>
            </w:r>
            <w:r>
              <w:rPr>
                <w:color w:val="auto"/>
                <w:spacing w:val="9"/>
                <w:lang w:eastAsia="zh-CN"/>
              </w:rPr>
              <w:t>生例数；以及</w:t>
            </w:r>
            <w:r>
              <w:rPr>
                <w:rFonts w:ascii="Times New Roman" w:hAnsi="Times New Roman" w:eastAsia="Times New Roman" w:cs="Times New Roman"/>
                <w:color w:val="auto"/>
                <w:spacing w:val="9"/>
                <w:lang w:eastAsia="zh-CN"/>
              </w:rPr>
              <w:t>2</w:t>
            </w:r>
            <w:r>
              <w:rPr>
                <w:color w:val="auto"/>
                <w:spacing w:val="9"/>
                <w:lang w:eastAsia="zh-CN"/>
              </w:rPr>
              <w:t>期及以上院内压力性损伤</w:t>
            </w:r>
            <w:r>
              <w:rPr>
                <w:color w:val="auto"/>
                <w:spacing w:val="25"/>
                <w:lang w:eastAsia="zh-CN"/>
              </w:rPr>
              <w:t>发生例数占同期住院患者出院人次的比</w:t>
            </w:r>
            <w:r>
              <w:rPr>
                <w:color w:val="auto"/>
                <w:spacing w:val="2"/>
                <w:lang w:eastAsia="zh-CN"/>
              </w:rPr>
              <w:t>例。</w:t>
            </w:r>
          </w:p>
        </w:tc>
        <w:tc>
          <w:tcPr>
            <w:tcW w:w="2977" w:type="dxa"/>
          </w:tcPr>
          <w:p>
            <w:pPr>
              <w:pStyle w:val="8"/>
              <w:spacing w:before="0" w:line="240" w:lineRule="exact"/>
              <w:ind w:left="17" w:right="11"/>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2</w:t>
            </w:r>
            <w:r>
              <w:rPr>
                <w:color w:val="auto"/>
                <w:spacing w:val="8"/>
                <w:lang w:eastAsia="zh-CN"/>
              </w:rPr>
              <w:t>期及以上院内压力性损伤发生率</w:t>
            </w:r>
            <w:r>
              <w:rPr>
                <w:rFonts w:ascii="Times New Roman" w:hAnsi="Times New Roman" w:eastAsia="Times New Roman" w:cs="Times New Roman"/>
                <w:color w:val="auto"/>
                <w:spacing w:val="13"/>
                <w:lang w:eastAsia="zh-CN"/>
              </w:rPr>
              <w:t>=2</w:t>
            </w:r>
            <w:r>
              <w:rPr>
                <w:color w:val="auto"/>
                <w:spacing w:val="13"/>
                <w:lang w:eastAsia="zh-CN"/>
              </w:rPr>
              <w:t>期及以上院内压力性损伤新发</w:t>
            </w:r>
            <w:r>
              <w:rPr>
                <w:color w:val="auto"/>
                <w:spacing w:val="6"/>
                <w:lang w:eastAsia="zh-CN"/>
              </w:rPr>
              <w:t>病例数</w:t>
            </w:r>
            <w:r>
              <w:rPr>
                <w:rFonts w:ascii="Times New Roman" w:hAnsi="Times New Roman" w:eastAsia="Times New Roman" w:cs="Times New Roman"/>
                <w:color w:val="auto"/>
                <w:spacing w:val="6"/>
                <w:lang w:eastAsia="zh-CN"/>
              </w:rPr>
              <w:t>/</w:t>
            </w:r>
            <w:r>
              <w:rPr>
                <w:color w:val="auto"/>
                <w:spacing w:val="6"/>
                <w:lang w:eastAsia="zh-CN"/>
              </w:rPr>
              <w:t>同期出院患者总数</w:t>
            </w:r>
            <w:r>
              <w:rPr>
                <w:rFonts w:ascii="Times New Roman" w:hAnsi="Times New Roman" w:eastAsia="Times New Roman" w:cs="Times New Roman"/>
                <w:color w:val="auto"/>
                <w:spacing w:val="6"/>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22" w:right="19" w:hanging="8"/>
              <w:rPr>
                <w:color w:val="auto"/>
                <w:lang w:eastAsia="zh-CN"/>
              </w:rPr>
            </w:pPr>
            <w:r>
              <w:rPr>
                <w:color w:val="auto"/>
                <w:spacing w:val="5"/>
                <w:lang w:eastAsia="zh-CN"/>
              </w:rPr>
              <w:t>（二十）输注反应发生例数</w:t>
            </w:r>
            <w:r>
              <w:rPr>
                <w:color w:val="auto"/>
                <w:spacing w:val="6"/>
                <w:lang w:eastAsia="zh-CN"/>
              </w:rPr>
              <w:t>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7"/>
              <w:jc w:val="both"/>
              <w:rPr>
                <w:color w:val="auto"/>
                <w:lang w:eastAsia="zh-CN"/>
              </w:rPr>
            </w:pPr>
            <w:r>
              <w:rPr>
                <w:rFonts w:ascii="Times New Roman" w:hAnsi="Times New Roman" w:eastAsia="Times New Roman" w:cs="Times New Roman"/>
                <w:color w:val="auto"/>
                <w:spacing w:val="-4"/>
                <w:lang w:eastAsia="zh-CN"/>
              </w:rPr>
              <w:t>ICD-10</w:t>
            </w:r>
            <w:r>
              <w:rPr>
                <w:color w:val="auto"/>
                <w:spacing w:val="-4"/>
                <w:lang w:eastAsia="zh-CN"/>
              </w:rPr>
              <w:t>编码：</w:t>
            </w:r>
            <w:r>
              <w:rPr>
                <w:rFonts w:ascii="Times New Roman" w:hAnsi="Times New Roman" w:eastAsia="Times New Roman" w:cs="Times New Roman"/>
                <w:color w:val="auto"/>
                <w:spacing w:val="-4"/>
                <w:lang w:eastAsia="zh-CN"/>
              </w:rPr>
              <w:t>T80.0</w:t>
            </w:r>
            <w:r>
              <w:rPr>
                <w:color w:val="auto"/>
                <w:spacing w:val="-4"/>
                <w:lang w:eastAsia="zh-CN"/>
              </w:rPr>
              <w:t>，</w:t>
            </w:r>
            <w:r>
              <w:rPr>
                <w:rFonts w:ascii="Times New Roman" w:hAnsi="Times New Roman" w:eastAsia="Times New Roman" w:cs="Times New Roman"/>
                <w:color w:val="auto"/>
                <w:spacing w:val="-4"/>
                <w:lang w:eastAsia="zh-CN"/>
              </w:rPr>
              <w:t>T80.1</w:t>
            </w:r>
            <w:r>
              <w:rPr>
                <w:color w:val="auto"/>
                <w:spacing w:val="-4"/>
                <w:lang w:eastAsia="zh-CN"/>
              </w:rPr>
              <w:t>，</w:t>
            </w:r>
            <w:r>
              <w:rPr>
                <w:rFonts w:ascii="Times New Roman" w:hAnsi="Times New Roman" w:eastAsia="Times New Roman" w:cs="Times New Roman"/>
                <w:color w:val="auto"/>
                <w:spacing w:val="-4"/>
                <w:lang w:eastAsia="zh-CN"/>
              </w:rPr>
              <w:t>T80.2</w:t>
            </w:r>
            <w:r>
              <w:rPr>
                <w:color w:val="auto"/>
                <w:spacing w:val="-4"/>
                <w:lang w:eastAsia="zh-CN"/>
              </w:rPr>
              <w:t>，</w:t>
            </w:r>
            <w:r>
              <w:rPr>
                <w:rFonts w:ascii="Times New Roman" w:hAnsi="Times New Roman" w:eastAsia="Times New Roman" w:cs="Times New Roman"/>
                <w:color w:val="auto"/>
                <w:spacing w:val="-4"/>
                <w:lang w:eastAsia="zh-CN"/>
              </w:rPr>
              <w:t>T80.8</w:t>
            </w:r>
            <w:r>
              <w:rPr>
                <w:color w:val="auto"/>
                <w:spacing w:val="-4"/>
                <w:lang w:eastAsia="zh-CN"/>
              </w:rPr>
              <w:t>，</w:t>
            </w:r>
            <w:r>
              <w:rPr>
                <w:rFonts w:ascii="Times New Roman" w:hAnsi="Times New Roman" w:eastAsia="Times New Roman" w:cs="Times New Roman"/>
                <w:color w:val="auto"/>
                <w:spacing w:val="3"/>
                <w:lang w:eastAsia="zh-CN"/>
              </w:rPr>
              <w:t>T80.9</w:t>
            </w:r>
            <w:r>
              <w:rPr>
                <w:color w:val="auto"/>
                <w:spacing w:val="3"/>
                <w:lang w:eastAsia="zh-CN"/>
              </w:rPr>
              <w:t>的出院患者输注反应发生例次；以及</w:t>
            </w:r>
            <w:r>
              <w:rPr>
                <w:color w:val="auto"/>
                <w:spacing w:val="11"/>
                <w:lang w:eastAsia="zh-CN"/>
              </w:rPr>
              <w:t>出院患者输注反应发生例次占同期接受输</w:t>
            </w:r>
            <w:r>
              <w:rPr>
                <w:color w:val="auto"/>
                <w:spacing w:val="6"/>
                <w:lang w:eastAsia="zh-CN"/>
              </w:rPr>
              <w:t>注出院患者人次的比例。</w:t>
            </w:r>
          </w:p>
        </w:tc>
        <w:tc>
          <w:tcPr>
            <w:tcW w:w="2977" w:type="dxa"/>
          </w:tcPr>
          <w:p>
            <w:pPr>
              <w:pStyle w:val="8"/>
              <w:spacing w:before="0" w:line="240" w:lineRule="exact"/>
              <w:ind w:left="34" w:right="11" w:hanging="11"/>
              <w:jc w:val="both"/>
              <w:rPr>
                <w:rFonts w:ascii="Times New Roman" w:hAnsi="Times New Roman" w:eastAsia="Times New Roman" w:cs="Times New Roman"/>
                <w:color w:val="auto"/>
                <w:lang w:eastAsia="zh-CN"/>
              </w:rPr>
            </w:pPr>
            <w:r>
              <w:rPr>
                <w:color w:val="auto"/>
                <w:spacing w:val="11"/>
                <w:lang w:eastAsia="zh-CN"/>
              </w:rPr>
              <w:t>输注反应发生率</w:t>
            </w:r>
            <w:r>
              <w:rPr>
                <w:rFonts w:ascii="Times New Roman" w:hAnsi="Times New Roman" w:eastAsia="Times New Roman" w:cs="Times New Roman"/>
                <w:color w:val="auto"/>
                <w:spacing w:val="11"/>
                <w:lang w:eastAsia="zh-CN"/>
              </w:rPr>
              <w:t>=</w:t>
            </w:r>
            <w:r>
              <w:rPr>
                <w:color w:val="auto"/>
                <w:spacing w:val="11"/>
                <w:lang w:eastAsia="zh-CN"/>
              </w:rPr>
              <w:t>发生输注反应的</w:t>
            </w:r>
            <w:r>
              <w:rPr>
                <w:color w:val="auto"/>
                <w:spacing w:val="14"/>
                <w:lang w:eastAsia="zh-CN"/>
              </w:rPr>
              <w:t>出院患者例次</w:t>
            </w:r>
            <w:r>
              <w:rPr>
                <w:rFonts w:ascii="Times New Roman" w:hAnsi="Times New Roman" w:eastAsia="Times New Roman" w:cs="Times New Roman"/>
                <w:color w:val="auto"/>
                <w:spacing w:val="14"/>
                <w:lang w:eastAsia="zh-CN"/>
              </w:rPr>
              <w:t>/</w:t>
            </w:r>
            <w:r>
              <w:rPr>
                <w:color w:val="auto"/>
                <w:spacing w:val="14"/>
                <w:lang w:eastAsia="zh-CN"/>
              </w:rPr>
              <w:t>同期接受输注的出</w:t>
            </w:r>
            <w:r>
              <w:rPr>
                <w:color w:val="auto"/>
                <w:spacing w:val="3"/>
                <w:lang w:eastAsia="zh-CN"/>
              </w:rPr>
              <w:t>院患者人次</w:t>
            </w:r>
            <w:r>
              <w:rPr>
                <w:rFonts w:ascii="Times New Roman" w:hAnsi="Times New Roman" w:eastAsia="Times New Roman" w:cs="Times New Roman"/>
                <w:color w:val="auto"/>
                <w:spacing w:val="3"/>
                <w:lang w:eastAsia="zh-CN"/>
              </w:rPr>
              <w:t>×100%</w:t>
            </w:r>
          </w:p>
        </w:tc>
        <w:tc>
          <w:tcPr>
            <w:tcW w:w="1142" w:type="dxa"/>
          </w:tcPr>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22" w:right="19" w:hanging="8"/>
              <w:rPr>
                <w:color w:val="auto"/>
                <w:lang w:eastAsia="zh-CN"/>
              </w:rPr>
            </w:pPr>
            <w:r>
              <w:rPr>
                <w:color w:val="auto"/>
                <w:spacing w:val="5"/>
                <w:lang w:eastAsia="zh-CN"/>
              </w:rPr>
              <w:t>（二十一）输血反应发生例</w:t>
            </w:r>
            <w:r>
              <w:rPr>
                <w:color w:val="auto"/>
                <w:spacing w:val="7"/>
                <w:lang w:eastAsia="zh-CN"/>
              </w:rPr>
              <w:t>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4" w:right="10" w:hanging="7"/>
              <w:jc w:val="both"/>
              <w:rPr>
                <w:color w:val="auto"/>
                <w:lang w:eastAsia="zh-CN"/>
              </w:rPr>
            </w:pPr>
            <w:r>
              <w:rPr>
                <w:rFonts w:ascii="Times New Roman" w:hAnsi="Times New Roman" w:eastAsia="Times New Roman" w:cs="Times New Roman"/>
                <w:color w:val="auto"/>
                <w:lang w:eastAsia="zh-CN"/>
              </w:rPr>
              <w:t>ICD</w:t>
            </w:r>
            <w:r>
              <w:rPr>
                <w:rFonts w:ascii="Times New Roman" w:hAnsi="Times New Roman" w:eastAsia="Times New Roman" w:cs="Times New Roman"/>
                <w:color w:val="auto"/>
                <w:spacing w:val="1"/>
                <w:lang w:eastAsia="zh-CN"/>
              </w:rPr>
              <w:t>-10</w:t>
            </w:r>
            <w:r>
              <w:rPr>
                <w:color w:val="auto"/>
                <w:spacing w:val="1"/>
                <w:lang w:eastAsia="zh-CN"/>
              </w:rPr>
              <w:t>编码：</w:t>
            </w:r>
            <w:r>
              <w:rPr>
                <w:rFonts w:ascii="Times New Roman" w:hAnsi="Times New Roman" w:eastAsia="Times New Roman" w:cs="Times New Roman"/>
                <w:color w:val="auto"/>
                <w:spacing w:val="1"/>
                <w:lang w:eastAsia="zh-CN"/>
              </w:rPr>
              <w:t>T80.0</w:t>
            </w:r>
            <w:r>
              <w:rPr>
                <w:color w:val="auto"/>
                <w:spacing w:val="1"/>
                <w:lang w:eastAsia="zh-CN"/>
              </w:rPr>
              <w:t>至</w:t>
            </w:r>
            <w:r>
              <w:rPr>
                <w:rFonts w:ascii="Times New Roman" w:hAnsi="Times New Roman" w:eastAsia="Times New Roman" w:cs="Times New Roman"/>
                <w:color w:val="auto"/>
                <w:spacing w:val="1"/>
                <w:lang w:eastAsia="zh-CN"/>
              </w:rPr>
              <w:t>T80.9</w:t>
            </w:r>
            <w:r>
              <w:rPr>
                <w:color w:val="auto"/>
                <w:spacing w:val="1"/>
                <w:lang w:eastAsia="zh-CN"/>
              </w:rPr>
              <w:t>的发</w:t>
            </w:r>
            <w:r>
              <w:rPr>
                <w:color w:val="auto"/>
                <w:lang w:eastAsia="zh-CN"/>
              </w:rPr>
              <w:t>生输血反</w:t>
            </w:r>
            <w:r>
              <w:rPr>
                <w:color w:val="auto"/>
                <w:spacing w:val="10"/>
                <w:lang w:eastAsia="zh-CN"/>
              </w:rPr>
              <w:t>应的出院患者例次；以及发生输血反应的</w:t>
            </w:r>
            <w:r>
              <w:rPr>
                <w:color w:val="auto"/>
                <w:spacing w:val="13"/>
                <w:lang w:eastAsia="zh-CN"/>
              </w:rPr>
              <w:t>出院患者例次占同期出院患者输血人次的</w:t>
            </w:r>
            <w:r>
              <w:rPr>
                <w:color w:val="auto"/>
                <w:spacing w:val="1"/>
                <w:lang w:eastAsia="zh-CN"/>
              </w:rPr>
              <w:t>比例。</w:t>
            </w:r>
          </w:p>
        </w:tc>
        <w:tc>
          <w:tcPr>
            <w:tcW w:w="2977" w:type="dxa"/>
          </w:tcPr>
          <w:p>
            <w:pPr>
              <w:pStyle w:val="8"/>
              <w:spacing w:before="0" w:line="240" w:lineRule="exact"/>
              <w:ind w:left="33" w:right="11" w:hanging="10"/>
              <w:jc w:val="both"/>
              <w:rPr>
                <w:rFonts w:ascii="Times New Roman" w:hAnsi="Times New Roman" w:eastAsia="Times New Roman" w:cs="Times New Roman"/>
                <w:color w:val="auto"/>
                <w:lang w:eastAsia="zh-CN"/>
              </w:rPr>
            </w:pPr>
            <w:r>
              <w:rPr>
                <w:color w:val="auto"/>
                <w:spacing w:val="11"/>
                <w:lang w:eastAsia="zh-CN"/>
              </w:rPr>
              <w:t>输血反应发生率</w:t>
            </w:r>
            <w:r>
              <w:rPr>
                <w:rFonts w:ascii="Times New Roman" w:hAnsi="Times New Roman" w:eastAsia="Times New Roman" w:cs="Times New Roman"/>
                <w:color w:val="auto"/>
                <w:spacing w:val="11"/>
                <w:lang w:eastAsia="zh-CN"/>
              </w:rPr>
              <w:t>=</w:t>
            </w:r>
            <w:r>
              <w:rPr>
                <w:color w:val="auto"/>
                <w:spacing w:val="11"/>
                <w:lang w:eastAsia="zh-CN"/>
              </w:rPr>
              <w:t>发生输血反应的</w:t>
            </w:r>
            <w:r>
              <w:rPr>
                <w:color w:val="auto"/>
                <w:spacing w:val="14"/>
                <w:lang w:eastAsia="zh-CN"/>
              </w:rPr>
              <w:t>出院患者例次</w:t>
            </w:r>
            <w:r>
              <w:rPr>
                <w:rFonts w:ascii="Times New Roman" w:hAnsi="Times New Roman" w:eastAsia="Times New Roman" w:cs="Times New Roman"/>
                <w:color w:val="auto"/>
                <w:spacing w:val="14"/>
                <w:lang w:eastAsia="zh-CN"/>
              </w:rPr>
              <w:t>/</w:t>
            </w:r>
            <w:r>
              <w:rPr>
                <w:color w:val="auto"/>
                <w:spacing w:val="14"/>
                <w:lang w:eastAsia="zh-CN"/>
              </w:rPr>
              <w:t>同期出院患者输血</w:t>
            </w:r>
            <w:r>
              <w:rPr>
                <w:color w:val="auto"/>
                <w:spacing w:val="1"/>
                <w:lang w:eastAsia="zh-CN"/>
              </w:rPr>
              <w:t>总例次</w:t>
            </w:r>
            <w:r>
              <w:rPr>
                <w:rFonts w:ascii="Times New Roman" w:hAnsi="Times New Roman" w:eastAsia="Times New Roman" w:cs="Times New Roman"/>
                <w:color w:val="auto"/>
                <w:spacing w:val="1"/>
                <w:lang w:eastAsia="zh-CN"/>
              </w:rPr>
              <w:t>×100%</w:t>
            </w:r>
          </w:p>
        </w:tc>
        <w:tc>
          <w:tcPr>
            <w:tcW w:w="1142" w:type="dxa"/>
          </w:tcPr>
          <w:p>
            <w:pPr>
              <w:pStyle w:val="8"/>
              <w:spacing w:before="0" w:line="240" w:lineRule="exact"/>
              <w:ind w:left="19"/>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4" w:right="19"/>
              <w:rPr>
                <w:color w:val="auto"/>
                <w:lang w:eastAsia="zh-CN"/>
              </w:rPr>
            </w:pPr>
            <w:r>
              <w:rPr>
                <w:color w:val="auto"/>
                <w:spacing w:val="5"/>
                <w:lang w:eastAsia="zh-CN"/>
              </w:rPr>
              <w:t>（二十二）医源性气胸发生</w:t>
            </w:r>
            <w:r>
              <w:rPr>
                <w:color w:val="auto"/>
                <w:spacing w:val="9"/>
                <w:lang w:eastAsia="zh-CN"/>
              </w:rPr>
              <w:t>例数和发生率</w:t>
            </w:r>
          </w:p>
        </w:tc>
        <w:tc>
          <w:tcPr>
            <w:tcW w:w="1751" w:type="dxa"/>
          </w:tcPr>
          <w:p>
            <w:pPr>
              <w:spacing w:line="240" w:lineRule="exact"/>
              <w:rPr>
                <w:color w:val="auto"/>
                <w:lang w:eastAsia="zh-CN"/>
              </w:rPr>
            </w:pPr>
          </w:p>
          <w:p>
            <w:pPr>
              <w:pStyle w:val="8"/>
              <w:spacing w:before="0" w:line="240" w:lineRule="exact"/>
              <w:ind w:left="28" w:hanging="7"/>
              <w:rPr>
                <w:color w:val="auto"/>
                <w:lang w:eastAsia="zh-CN"/>
              </w:rPr>
            </w:pPr>
            <w:r>
              <w:rPr>
                <w:color w:val="auto"/>
                <w:spacing w:val="-3"/>
                <w:lang w:eastAsia="zh-CN"/>
              </w:rPr>
              <w:t>定量指标，连续监测</w:t>
            </w:r>
            <w:r>
              <w:rPr>
                <w:color w:val="auto"/>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9" w:right="4" w:hanging="2"/>
              <w:jc w:val="both"/>
              <w:rPr>
                <w:color w:val="auto"/>
                <w:lang w:eastAsia="zh-CN"/>
              </w:rPr>
            </w:pPr>
            <w:r>
              <w:rPr>
                <w:rFonts w:ascii="Times New Roman" w:hAnsi="Times New Roman" w:eastAsia="Times New Roman" w:cs="Times New Roman"/>
                <w:color w:val="auto"/>
                <w:spacing w:val="-5"/>
                <w:lang w:eastAsia="zh-CN"/>
              </w:rPr>
              <w:t>ICD-10</w:t>
            </w:r>
            <w:r>
              <w:rPr>
                <w:color w:val="auto"/>
                <w:spacing w:val="-5"/>
                <w:lang w:eastAsia="zh-CN"/>
              </w:rPr>
              <w:t>编码：</w:t>
            </w:r>
            <w:r>
              <w:rPr>
                <w:rFonts w:ascii="Times New Roman" w:hAnsi="Times New Roman" w:eastAsia="Times New Roman" w:cs="Times New Roman"/>
                <w:color w:val="auto"/>
                <w:spacing w:val="-5"/>
                <w:lang w:eastAsia="zh-CN"/>
              </w:rPr>
              <w:t>J93.8</w:t>
            </w:r>
            <w:r>
              <w:rPr>
                <w:color w:val="auto"/>
                <w:spacing w:val="-5"/>
                <w:lang w:eastAsia="zh-CN"/>
              </w:rPr>
              <w:t>，</w:t>
            </w:r>
            <w:r>
              <w:rPr>
                <w:rFonts w:ascii="Times New Roman" w:hAnsi="Times New Roman" w:eastAsia="Times New Roman" w:cs="Times New Roman"/>
                <w:color w:val="auto"/>
                <w:spacing w:val="-5"/>
                <w:lang w:eastAsia="zh-CN"/>
              </w:rPr>
              <w:t>J93.9</w:t>
            </w:r>
            <w:r>
              <w:rPr>
                <w:color w:val="auto"/>
                <w:spacing w:val="-5"/>
                <w:lang w:eastAsia="zh-CN"/>
              </w:rPr>
              <w:t>，</w:t>
            </w:r>
            <w:r>
              <w:rPr>
                <w:rFonts w:ascii="Times New Roman" w:hAnsi="Times New Roman" w:eastAsia="Times New Roman" w:cs="Times New Roman"/>
                <w:color w:val="auto"/>
                <w:spacing w:val="-5"/>
                <w:lang w:eastAsia="zh-CN"/>
              </w:rPr>
              <w:t>J95.804</w:t>
            </w:r>
            <w:r>
              <w:rPr>
                <w:color w:val="auto"/>
                <w:spacing w:val="-5"/>
                <w:lang w:eastAsia="zh-CN"/>
              </w:rPr>
              <w:t>，</w:t>
            </w:r>
            <w:r>
              <w:rPr>
                <w:rFonts w:ascii="Times New Roman" w:hAnsi="Times New Roman" w:eastAsia="Times New Roman" w:cs="Times New Roman"/>
                <w:color w:val="auto"/>
                <w:spacing w:val="-5"/>
                <w:lang w:eastAsia="zh-CN"/>
              </w:rPr>
              <w:t>T81.218</w:t>
            </w:r>
            <w:r>
              <w:rPr>
                <w:color w:val="auto"/>
                <w:spacing w:val="13"/>
                <w:lang w:eastAsia="zh-CN"/>
              </w:rPr>
              <w:t>发生医源性气胸出院患者人次；发生医源性气胸出院患者人次以及占同期出院患者</w:t>
            </w:r>
            <w:r>
              <w:rPr>
                <w:color w:val="auto"/>
                <w:spacing w:val="6"/>
                <w:lang w:eastAsia="zh-CN"/>
              </w:rPr>
              <w:t>人次的比例。</w:t>
            </w:r>
          </w:p>
        </w:tc>
        <w:tc>
          <w:tcPr>
            <w:tcW w:w="2977" w:type="dxa"/>
          </w:tcPr>
          <w:p>
            <w:pPr>
              <w:pStyle w:val="8"/>
              <w:spacing w:before="0" w:line="240" w:lineRule="exact"/>
              <w:ind w:left="23" w:right="11" w:firstLine="20"/>
              <w:jc w:val="both"/>
              <w:rPr>
                <w:rFonts w:ascii="Times New Roman" w:hAnsi="Times New Roman" w:eastAsia="Times New Roman" w:cs="Times New Roman"/>
                <w:color w:val="auto"/>
                <w:lang w:eastAsia="zh-CN"/>
              </w:rPr>
            </w:pPr>
            <w:r>
              <w:rPr>
                <w:color w:val="auto"/>
                <w:spacing w:val="9"/>
                <w:lang w:eastAsia="zh-CN"/>
              </w:rPr>
              <w:t>医源性气胸发生率</w:t>
            </w:r>
            <w:r>
              <w:rPr>
                <w:rFonts w:ascii="Times New Roman" w:hAnsi="Times New Roman" w:eastAsia="Times New Roman" w:cs="Times New Roman"/>
                <w:color w:val="auto"/>
                <w:spacing w:val="9"/>
                <w:lang w:eastAsia="zh-CN"/>
              </w:rPr>
              <w:t>=</w:t>
            </w:r>
            <w:r>
              <w:rPr>
                <w:color w:val="auto"/>
                <w:spacing w:val="9"/>
                <w:lang w:eastAsia="zh-CN"/>
              </w:rPr>
              <w:t>发生医源性气</w:t>
            </w:r>
            <w:r>
              <w:rPr>
                <w:color w:val="auto"/>
                <w:spacing w:val="14"/>
                <w:lang w:eastAsia="zh-CN"/>
              </w:rPr>
              <w:t>胸出院患者人次</w:t>
            </w:r>
            <w:r>
              <w:rPr>
                <w:rFonts w:ascii="Times New Roman" w:hAnsi="Times New Roman" w:eastAsia="Times New Roman" w:cs="Times New Roman"/>
                <w:color w:val="auto"/>
                <w:spacing w:val="14"/>
                <w:lang w:eastAsia="zh-CN"/>
              </w:rPr>
              <w:t>/</w:t>
            </w:r>
            <w:r>
              <w:rPr>
                <w:color w:val="auto"/>
                <w:spacing w:val="14"/>
                <w:lang w:eastAsia="zh-CN"/>
              </w:rPr>
              <w:t>同期出院患者人</w:t>
            </w:r>
            <w:r>
              <w:rPr>
                <w:color w:val="auto"/>
                <w:spacing w:val="2"/>
                <w:lang w:eastAsia="zh-CN"/>
              </w:rPr>
              <w:t>次数</w:t>
            </w:r>
            <w:r>
              <w:rPr>
                <w:rFonts w:ascii="Times New Roman" w:hAnsi="Times New Roman" w:eastAsia="Times New Roman" w:cs="Times New Roman"/>
                <w:color w:val="auto"/>
                <w:spacing w:val="2"/>
                <w:lang w:eastAsia="zh-CN"/>
              </w:rPr>
              <w:t>×100%</w:t>
            </w:r>
          </w:p>
        </w:tc>
        <w:tc>
          <w:tcPr>
            <w:tcW w:w="1142" w:type="dxa"/>
          </w:tcPr>
          <w:p>
            <w:pPr>
              <w:pStyle w:val="8"/>
              <w:spacing w:before="0" w:line="240" w:lineRule="exact"/>
              <w:ind w:left="19"/>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054" w:type="dxa"/>
            <w:vMerge w:val="continue"/>
            <w:tcBorders>
              <w:top w:val="nil"/>
              <w:bottom w:val="nil"/>
            </w:tcBorders>
          </w:tcPr>
          <w:p>
            <w:pPr>
              <w:spacing w:line="240" w:lineRule="exact"/>
              <w:rPr>
                <w:color w:val="auto"/>
              </w:rPr>
            </w:pPr>
          </w:p>
        </w:tc>
        <w:tc>
          <w:tcPr>
            <w:tcW w:w="2434" w:type="dxa"/>
          </w:tcPr>
          <w:p>
            <w:pPr>
              <w:pStyle w:val="8"/>
              <w:spacing w:before="0" w:line="240" w:lineRule="exact"/>
              <w:ind w:left="19" w:right="19" w:hanging="5"/>
              <w:rPr>
                <w:color w:val="auto"/>
                <w:lang w:eastAsia="zh-CN"/>
              </w:rPr>
            </w:pPr>
            <w:r>
              <w:rPr>
                <w:color w:val="auto"/>
                <w:spacing w:val="5"/>
                <w:lang w:eastAsia="zh-CN"/>
              </w:rPr>
              <w:t>（二十三）住院患者医院内</w:t>
            </w:r>
            <w:r>
              <w:rPr>
                <w:color w:val="auto"/>
                <w:spacing w:val="8"/>
                <w:lang w:eastAsia="zh-CN"/>
              </w:rPr>
              <w:t>跌倒</w:t>
            </w:r>
            <w:r>
              <w:rPr>
                <w:rFonts w:ascii="Times New Roman" w:hAnsi="Times New Roman" w:eastAsia="Times New Roman" w:cs="Times New Roman"/>
                <w:color w:val="auto"/>
                <w:spacing w:val="8"/>
                <w:lang w:eastAsia="zh-CN"/>
              </w:rPr>
              <w:t>/</w:t>
            </w:r>
            <w:r>
              <w:rPr>
                <w:color w:val="auto"/>
                <w:spacing w:val="8"/>
                <w:lang w:eastAsia="zh-CN"/>
              </w:rPr>
              <w:t>坠床所致髋部骨折发生例数和发生率</w:t>
            </w:r>
          </w:p>
        </w:tc>
        <w:tc>
          <w:tcPr>
            <w:tcW w:w="1751" w:type="dxa"/>
          </w:tcPr>
          <w:p>
            <w:pPr>
              <w:spacing w:line="240" w:lineRule="exact"/>
              <w:rPr>
                <w:color w:val="auto"/>
                <w:lang w:eastAsia="zh-CN"/>
              </w:rPr>
            </w:pPr>
          </w:p>
          <w:p>
            <w:pPr>
              <w:pStyle w:val="8"/>
              <w:spacing w:before="0" w:line="240" w:lineRule="exact"/>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24" w:hanging="7"/>
              <w:jc w:val="both"/>
              <w:rPr>
                <w:color w:val="auto"/>
                <w:lang w:eastAsia="zh-CN"/>
              </w:rPr>
            </w:pPr>
            <w:r>
              <w:rPr>
                <w:rFonts w:ascii="Times New Roman" w:hAnsi="Times New Roman" w:eastAsia="Times New Roman" w:cs="Times New Roman"/>
                <w:color w:val="auto"/>
                <w:spacing w:val="-7"/>
                <w:lang w:eastAsia="zh-CN"/>
              </w:rPr>
              <w:t>ICD-10</w:t>
            </w:r>
            <w:r>
              <w:rPr>
                <w:color w:val="auto"/>
                <w:spacing w:val="-7"/>
                <w:lang w:eastAsia="zh-CN"/>
              </w:rPr>
              <w:t>编码：</w:t>
            </w:r>
            <w:r>
              <w:rPr>
                <w:rFonts w:ascii="Times New Roman" w:hAnsi="Times New Roman" w:eastAsia="Times New Roman" w:cs="Times New Roman"/>
                <w:color w:val="auto"/>
                <w:spacing w:val="-7"/>
                <w:lang w:eastAsia="zh-CN"/>
              </w:rPr>
              <w:t>S32.1</w:t>
            </w:r>
            <w:r>
              <w:rPr>
                <w:color w:val="auto"/>
                <w:spacing w:val="-7"/>
                <w:lang w:eastAsia="zh-CN"/>
              </w:rPr>
              <w:t>至</w:t>
            </w:r>
            <w:r>
              <w:rPr>
                <w:rFonts w:ascii="Times New Roman" w:hAnsi="Times New Roman" w:eastAsia="Times New Roman" w:cs="Times New Roman"/>
                <w:color w:val="auto"/>
                <w:spacing w:val="-7"/>
                <w:lang w:eastAsia="zh-CN"/>
              </w:rPr>
              <w:t>S32.5</w:t>
            </w:r>
            <w:r>
              <w:rPr>
                <w:color w:val="auto"/>
                <w:spacing w:val="-7"/>
                <w:lang w:eastAsia="zh-CN"/>
              </w:rPr>
              <w:t>，</w:t>
            </w:r>
            <w:r>
              <w:rPr>
                <w:rFonts w:ascii="Times New Roman" w:hAnsi="Times New Roman" w:eastAsia="Times New Roman" w:cs="Times New Roman"/>
                <w:color w:val="auto"/>
                <w:spacing w:val="-7"/>
                <w:lang w:eastAsia="zh-CN"/>
              </w:rPr>
              <w:t>S32.7</w:t>
            </w:r>
            <w:r>
              <w:rPr>
                <w:color w:val="auto"/>
                <w:spacing w:val="-7"/>
                <w:lang w:eastAsia="zh-CN"/>
              </w:rPr>
              <w:t>，</w:t>
            </w:r>
            <w:r>
              <w:rPr>
                <w:rFonts w:ascii="Times New Roman" w:hAnsi="Times New Roman" w:eastAsia="Times New Roman" w:cs="Times New Roman"/>
                <w:color w:val="auto"/>
                <w:spacing w:val="-7"/>
                <w:lang w:eastAsia="zh-CN"/>
              </w:rPr>
              <w:t>S32.8</w:t>
            </w:r>
            <w:r>
              <w:rPr>
                <w:color w:val="auto"/>
                <w:spacing w:val="-7"/>
                <w:lang w:eastAsia="zh-CN"/>
              </w:rPr>
              <w:t>，</w:t>
            </w:r>
            <w:r>
              <w:rPr>
                <w:rFonts w:ascii="Times New Roman" w:hAnsi="Times New Roman" w:eastAsia="Times New Roman" w:cs="Times New Roman"/>
                <w:color w:val="auto"/>
                <w:spacing w:val="5"/>
                <w:lang w:eastAsia="zh-CN"/>
              </w:rPr>
              <w:t>S71.8</w:t>
            </w:r>
            <w:r>
              <w:rPr>
                <w:color w:val="auto"/>
                <w:spacing w:val="5"/>
                <w:lang w:eastAsia="zh-CN"/>
              </w:rPr>
              <w:t>，</w:t>
            </w:r>
            <w:r>
              <w:rPr>
                <w:rFonts w:ascii="Times New Roman" w:hAnsi="Times New Roman" w:eastAsia="Times New Roman" w:cs="Times New Roman"/>
                <w:color w:val="auto"/>
                <w:spacing w:val="5"/>
                <w:lang w:eastAsia="zh-CN"/>
              </w:rPr>
              <w:t>S72.0</w:t>
            </w:r>
            <w:r>
              <w:rPr>
                <w:color w:val="auto"/>
                <w:spacing w:val="5"/>
                <w:lang w:eastAsia="zh-CN"/>
              </w:rPr>
              <w:t>出院患者医院内跌倒</w:t>
            </w:r>
            <w:r>
              <w:rPr>
                <w:rFonts w:ascii="Times New Roman" w:hAnsi="Times New Roman" w:eastAsia="Times New Roman" w:cs="Times New Roman"/>
                <w:color w:val="auto"/>
                <w:spacing w:val="5"/>
                <w:lang w:eastAsia="zh-CN"/>
              </w:rPr>
              <w:t>/</w:t>
            </w:r>
            <w:r>
              <w:rPr>
                <w:color w:val="auto"/>
                <w:spacing w:val="5"/>
                <w:lang w:eastAsia="zh-CN"/>
              </w:rPr>
              <w:t>坠床所</w:t>
            </w:r>
            <w:r>
              <w:rPr>
                <w:color w:val="auto"/>
                <w:spacing w:val="8"/>
                <w:lang w:eastAsia="zh-CN"/>
              </w:rPr>
              <w:t>致髋部骨折发生例数；以及出院患者医院</w:t>
            </w:r>
            <w:r>
              <w:rPr>
                <w:color w:val="auto"/>
                <w:spacing w:val="7"/>
                <w:lang w:eastAsia="zh-CN"/>
              </w:rPr>
              <w:t>内跌倒</w:t>
            </w:r>
            <w:r>
              <w:rPr>
                <w:rFonts w:ascii="Times New Roman" w:hAnsi="Times New Roman" w:eastAsia="Times New Roman" w:cs="Times New Roman"/>
                <w:color w:val="auto"/>
                <w:spacing w:val="7"/>
                <w:lang w:eastAsia="zh-CN"/>
              </w:rPr>
              <w:t>/</w:t>
            </w:r>
            <w:r>
              <w:rPr>
                <w:color w:val="auto"/>
                <w:spacing w:val="7"/>
                <w:lang w:eastAsia="zh-CN"/>
              </w:rPr>
              <w:t>坠床所致髋部骨折发生例数占同期</w:t>
            </w:r>
            <w:r>
              <w:rPr>
                <w:color w:val="auto"/>
                <w:spacing w:val="5"/>
                <w:lang w:eastAsia="zh-CN"/>
              </w:rPr>
              <w:t>出院患者人数的比例。</w:t>
            </w:r>
          </w:p>
        </w:tc>
        <w:tc>
          <w:tcPr>
            <w:tcW w:w="2977" w:type="dxa"/>
          </w:tcPr>
          <w:p>
            <w:pPr>
              <w:pStyle w:val="8"/>
              <w:spacing w:before="0" w:line="240" w:lineRule="exact"/>
              <w:ind w:left="21" w:right="8" w:firstLine="3"/>
              <w:jc w:val="both"/>
              <w:rPr>
                <w:rFonts w:ascii="Times New Roman" w:hAnsi="Times New Roman" w:eastAsia="Times New Roman" w:cs="Times New Roman"/>
                <w:color w:val="auto"/>
                <w:lang w:eastAsia="zh-CN"/>
              </w:rPr>
            </w:pPr>
            <w:r>
              <w:rPr>
                <w:color w:val="auto"/>
                <w:spacing w:val="14"/>
                <w:lang w:eastAsia="zh-CN"/>
              </w:rPr>
              <w:t>住院患者医院内跌倒</w:t>
            </w:r>
            <w:r>
              <w:rPr>
                <w:rFonts w:ascii="Times New Roman" w:hAnsi="Times New Roman" w:eastAsia="Times New Roman" w:cs="Times New Roman"/>
                <w:color w:val="auto"/>
                <w:spacing w:val="14"/>
                <w:lang w:eastAsia="zh-CN"/>
              </w:rPr>
              <w:t>/</w:t>
            </w:r>
            <w:r>
              <w:rPr>
                <w:color w:val="auto"/>
                <w:spacing w:val="14"/>
                <w:lang w:eastAsia="zh-CN"/>
              </w:rPr>
              <w:t>坠床所致髋</w:t>
            </w:r>
            <w:r>
              <w:rPr>
                <w:color w:val="auto"/>
                <w:spacing w:val="20"/>
                <w:lang w:eastAsia="zh-CN"/>
              </w:rPr>
              <w:t>部骨折发生率</w:t>
            </w:r>
            <w:r>
              <w:rPr>
                <w:rFonts w:ascii="Times New Roman" w:hAnsi="Times New Roman" w:eastAsia="Times New Roman" w:cs="Times New Roman"/>
                <w:color w:val="auto"/>
                <w:spacing w:val="20"/>
                <w:lang w:eastAsia="zh-CN"/>
              </w:rPr>
              <w:t>=</w:t>
            </w:r>
            <w:r>
              <w:rPr>
                <w:color w:val="auto"/>
                <w:spacing w:val="20"/>
                <w:lang w:eastAsia="zh-CN"/>
              </w:rPr>
              <w:t>医院内跌倒</w:t>
            </w:r>
            <w:r>
              <w:rPr>
                <w:rFonts w:ascii="Times New Roman" w:hAnsi="Times New Roman" w:eastAsia="Times New Roman" w:cs="Times New Roman"/>
                <w:color w:val="auto"/>
                <w:spacing w:val="20"/>
                <w:lang w:eastAsia="zh-CN"/>
              </w:rPr>
              <w:t>/</w:t>
            </w:r>
            <w:r>
              <w:rPr>
                <w:color w:val="auto"/>
                <w:spacing w:val="20"/>
                <w:lang w:eastAsia="zh-CN"/>
              </w:rPr>
              <w:t>坠床</w:t>
            </w:r>
            <w:r>
              <w:rPr>
                <w:color w:val="auto"/>
                <w:spacing w:val="15"/>
                <w:lang w:eastAsia="zh-CN"/>
              </w:rPr>
              <w:t>所致髋部骨折发生例数</w:t>
            </w:r>
            <w:r>
              <w:rPr>
                <w:rFonts w:ascii="Times New Roman" w:hAnsi="Times New Roman" w:eastAsia="Times New Roman" w:cs="Times New Roman"/>
                <w:color w:val="auto"/>
                <w:spacing w:val="15"/>
                <w:lang w:eastAsia="zh-CN"/>
              </w:rPr>
              <w:t>/</w:t>
            </w:r>
            <w:r>
              <w:rPr>
                <w:color w:val="auto"/>
                <w:spacing w:val="15"/>
                <w:lang w:eastAsia="zh-CN"/>
              </w:rPr>
              <w:t>同期出院</w:t>
            </w:r>
            <w:r>
              <w:rPr>
                <w:color w:val="auto"/>
                <w:spacing w:val="4"/>
                <w:lang w:eastAsia="zh-CN"/>
              </w:rPr>
              <w:t>患者人次数</w:t>
            </w:r>
            <w:r>
              <w:rPr>
                <w:rFonts w:ascii="Times New Roman" w:hAnsi="Times New Roman" w:eastAsia="Times New Roman" w:cs="Times New Roman"/>
                <w:color w:val="auto"/>
                <w:spacing w:val="4"/>
                <w:lang w:eastAsia="zh-CN"/>
              </w:rPr>
              <w:t>×100%</w:t>
            </w:r>
          </w:p>
        </w:tc>
        <w:tc>
          <w:tcPr>
            <w:tcW w:w="1142" w:type="dxa"/>
          </w:tcPr>
          <w:p>
            <w:pPr>
              <w:pStyle w:val="8"/>
              <w:spacing w:before="0" w:line="240" w:lineRule="exact"/>
              <w:ind w:left="19"/>
              <w:rPr>
                <w:color w:val="auto"/>
              </w:rPr>
            </w:pPr>
            <w:r>
              <w:rPr>
                <w:color w:val="auto"/>
                <w:spacing w:val="8"/>
              </w:rPr>
              <w:t>逐步降低</w:t>
            </w:r>
          </w:p>
        </w:tc>
      </w:tr>
    </w:tbl>
    <w:p>
      <w:pPr>
        <w:spacing w:line="240" w:lineRule="exact"/>
        <w:rPr>
          <w:color w:val="auto"/>
        </w:rPr>
      </w:pPr>
    </w:p>
    <w:p>
      <w:pPr>
        <w:spacing w:line="240" w:lineRule="exact"/>
        <w:rPr>
          <w:color w:val="auto"/>
        </w:rPr>
        <w:sectPr>
          <w:footerReference r:id="rId25" w:type="default"/>
          <w:pgSz w:w="16839" w:h="11906"/>
          <w:pgMar w:top="1012" w:right="1260"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434"/>
        <w:gridCol w:w="1751"/>
        <w:gridCol w:w="999"/>
        <w:gridCol w:w="3704"/>
        <w:gridCol w:w="297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4" w:type="dxa"/>
          </w:tcPr>
          <w:p>
            <w:pPr>
              <w:spacing w:line="240" w:lineRule="exact"/>
              <w:rPr>
                <w:rFonts w:ascii="黑体" w:hAnsi="黑体" w:eastAsia="黑体" w:cs="黑体"/>
                <w:color w:val="auto"/>
                <w:sz w:val="19"/>
                <w:szCs w:val="19"/>
              </w:rPr>
            </w:pPr>
            <w:r>
              <w:rPr>
                <w:rFonts w:ascii="黑体" w:hAnsi="黑体" w:eastAsia="黑体" w:cs="黑体"/>
                <w:color w:val="auto"/>
                <w:spacing w:val="6"/>
                <w:sz w:val="19"/>
                <w:szCs w:val="19"/>
              </w:rPr>
              <w:t>章节</w:t>
            </w:r>
          </w:p>
        </w:tc>
        <w:tc>
          <w:tcPr>
            <w:tcW w:w="2434" w:type="dxa"/>
          </w:tcPr>
          <w:p>
            <w:pPr>
              <w:spacing w:before="0" w:line="240" w:lineRule="exact"/>
              <w:ind w:left="1019"/>
              <w:rPr>
                <w:rFonts w:ascii="黑体" w:hAnsi="黑体" w:eastAsia="黑体" w:cs="黑体"/>
                <w:color w:val="auto"/>
                <w:sz w:val="19"/>
                <w:szCs w:val="19"/>
              </w:rPr>
            </w:pPr>
            <w:r>
              <w:rPr>
                <w:rFonts w:ascii="黑体" w:hAnsi="黑体" w:eastAsia="黑体" w:cs="黑体"/>
                <w:color w:val="auto"/>
                <w:spacing w:val="6"/>
                <w:sz w:val="19"/>
                <w:szCs w:val="19"/>
              </w:rPr>
              <w:t>指标</w:t>
            </w:r>
          </w:p>
        </w:tc>
        <w:tc>
          <w:tcPr>
            <w:tcW w:w="1751" w:type="dxa"/>
          </w:tcPr>
          <w:p>
            <w:pPr>
              <w:spacing w:before="0" w:line="240" w:lineRule="exact"/>
              <w:ind w:left="47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99" w:type="dxa"/>
          </w:tcPr>
          <w:p>
            <w:pPr>
              <w:spacing w:before="0" w:line="240" w:lineRule="exact"/>
              <w:ind w:left="105"/>
              <w:rPr>
                <w:rFonts w:ascii="黑体" w:hAnsi="黑体" w:eastAsia="黑体" w:cs="黑体"/>
                <w:color w:val="auto"/>
                <w:sz w:val="19"/>
                <w:szCs w:val="19"/>
              </w:rPr>
            </w:pPr>
            <w:r>
              <w:rPr>
                <w:rFonts w:ascii="黑体" w:hAnsi="黑体" w:eastAsia="黑体" w:cs="黑体"/>
                <w:color w:val="auto"/>
                <w:spacing w:val="8"/>
                <w:sz w:val="19"/>
                <w:szCs w:val="19"/>
              </w:rPr>
              <w:t>计量单位</w:t>
            </w:r>
          </w:p>
        </w:tc>
        <w:tc>
          <w:tcPr>
            <w:tcW w:w="3704" w:type="dxa"/>
          </w:tcPr>
          <w:p>
            <w:pPr>
              <w:spacing w:before="0" w:line="240" w:lineRule="exact"/>
              <w:ind w:left="145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2977" w:type="dxa"/>
          </w:tcPr>
          <w:p>
            <w:pPr>
              <w:spacing w:before="0" w:line="240" w:lineRule="exact"/>
              <w:ind w:left="1095"/>
              <w:rPr>
                <w:rFonts w:ascii="黑体" w:hAnsi="黑体" w:eastAsia="黑体" w:cs="黑体"/>
                <w:color w:val="auto"/>
                <w:sz w:val="19"/>
                <w:szCs w:val="19"/>
              </w:rPr>
            </w:pPr>
            <w:r>
              <w:rPr>
                <w:rFonts w:ascii="黑体" w:hAnsi="黑体" w:eastAsia="黑体" w:cs="黑体"/>
                <w:color w:val="auto"/>
                <w:spacing w:val="8"/>
                <w:sz w:val="19"/>
                <w:szCs w:val="19"/>
              </w:rPr>
              <w:t>计算方法</w:t>
            </w:r>
          </w:p>
        </w:tc>
        <w:tc>
          <w:tcPr>
            <w:tcW w:w="1142" w:type="dxa"/>
          </w:tcPr>
          <w:p>
            <w:pPr>
              <w:spacing w:before="0" w:line="240" w:lineRule="exact"/>
              <w:ind w:left="1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0" w:hRule="atLeast"/>
        </w:trPr>
        <w:tc>
          <w:tcPr>
            <w:tcW w:w="1054" w:type="dxa"/>
            <w:tcBorders>
              <w:bottom w:val="nil"/>
            </w:tcBorders>
          </w:tcPr>
          <w:p>
            <w:pPr>
              <w:spacing w:line="240" w:lineRule="exact"/>
              <w:rPr>
                <w:color w:val="auto"/>
              </w:rPr>
            </w:pPr>
          </w:p>
        </w:tc>
        <w:tc>
          <w:tcPr>
            <w:tcW w:w="243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4" w:right="14"/>
              <w:jc w:val="both"/>
              <w:rPr>
                <w:color w:val="auto"/>
                <w:lang w:eastAsia="zh-CN"/>
              </w:rPr>
            </w:pPr>
            <w:r>
              <w:rPr>
                <w:color w:val="auto"/>
                <w:spacing w:val="5"/>
                <w:lang w:eastAsia="zh-CN"/>
              </w:rPr>
              <w:t>（二十四）临床用药所致的</w:t>
            </w:r>
            <w:r>
              <w:rPr>
                <w:color w:val="auto"/>
                <w:spacing w:val="9"/>
                <w:lang w:eastAsia="zh-CN"/>
              </w:rPr>
              <w:t>有害效应（不良事件）发生例数和发生率</w:t>
            </w:r>
          </w:p>
        </w:tc>
        <w:tc>
          <w:tcPr>
            <w:tcW w:w="1751"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8" w:right="13" w:hanging="7"/>
              <w:rPr>
                <w:color w:val="auto"/>
                <w:lang w:eastAsia="zh-CN"/>
              </w:rPr>
            </w:pPr>
            <w:r>
              <w:rPr>
                <w:color w:val="auto"/>
                <w:lang w:eastAsia="zh-CN"/>
              </w:rPr>
              <w:t>定量指标，连续监测</w:t>
            </w:r>
            <w:r>
              <w:rPr>
                <w:color w:val="auto"/>
                <w:spacing w:val="7"/>
                <w:lang w:eastAsia="zh-CN"/>
              </w:rPr>
              <w:t>类指标，必填指标</w:t>
            </w:r>
          </w:p>
        </w:tc>
        <w:tc>
          <w:tcPr>
            <w:tcW w:w="99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jc w:val="right"/>
              <w:rPr>
                <w:color w:val="auto"/>
              </w:rPr>
            </w:pPr>
            <w:r>
              <w:rPr>
                <w:color w:val="auto"/>
                <w:spacing w:val="-24"/>
                <w:position w:val="1"/>
              </w:rPr>
              <w:t>百分比（</w:t>
            </w:r>
            <w:r>
              <w:rPr>
                <w:rFonts w:ascii="Times New Roman" w:hAnsi="Times New Roman" w:eastAsia="Times New Roman" w:cs="Times New Roman"/>
                <w:color w:val="auto"/>
                <w:spacing w:val="-24"/>
                <w:position w:val="1"/>
              </w:rPr>
              <w:t>%</w:t>
            </w:r>
            <w:r>
              <w:rPr>
                <w:color w:val="auto"/>
                <w:spacing w:val="-24"/>
                <w:position w:val="1"/>
              </w:rPr>
              <w:t>）</w:t>
            </w:r>
          </w:p>
        </w:tc>
        <w:tc>
          <w:tcPr>
            <w:tcW w:w="3704" w:type="dxa"/>
          </w:tcPr>
          <w:p>
            <w:pPr>
              <w:pStyle w:val="8"/>
              <w:spacing w:before="0" w:line="240" w:lineRule="exact"/>
              <w:ind w:left="13" w:firstLine="10"/>
              <w:rPr>
                <w:color w:val="auto"/>
                <w:lang w:eastAsia="zh-CN"/>
              </w:rPr>
            </w:pPr>
            <w:r>
              <w:rPr>
                <w:color w:val="auto"/>
                <w:spacing w:val="15"/>
                <w:lang w:eastAsia="zh-CN"/>
              </w:rPr>
              <w:t>住院患者中全身性抗菌药物（</w:t>
            </w:r>
            <w:r>
              <w:rPr>
                <w:rFonts w:ascii="Times New Roman" w:hAnsi="Times New Roman" w:eastAsia="Times New Roman" w:cs="Times New Roman"/>
                <w:color w:val="auto"/>
                <w:spacing w:val="15"/>
                <w:lang w:eastAsia="zh-CN"/>
              </w:rPr>
              <w:t>Y40.0</w:t>
            </w:r>
            <w:r>
              <w:rPr>
                <w:color w:val="auto"/>
                <w:spacing w:val="15"/>
                <w:lang w:eastAsia="zh-CN"/>
              </w:rPr>
              <w:t>至</w:t>
            </w:r>
            <w:r>
              <w:rPr>
                <w:rFonts w:ascii="Times New Roman" w:hAnsi="Times New Roman" w:eastAsia="Times New Roman" w:cs="Times New Roman"/>
                <w:color w:val="auto"/>
                <w:spacing w:val="1"/>
                <w:lang w:eastAsia="zh-CN"/>
              </w:rPr>
              <w:t>Y40.9</w:t>
            </w:r>
            <w:r>
              <w:rPr>
                <w:color w:val="auto"/>
                <w:spacing w:val="1"/>
                <w:lang w:eastAsia="zh-CN"/>
              </w:rPr>
              <w:t>的出院患者）、降血糖药物（</w:t>
            </w:r>
            <w:r>
              <w:rPr>
                <w:rFonts w:ascii="Times New Roman" w:hAnsi="Times New Roman" w:eastAsia="Times New Roman" w:cs="Times New Roman"/>
                <w:color w:val="auto"/>
                <w:spacing w:val="1"/>
                <w:lang w:eastAsia="zh-CN"/>
              </w:rPr>
              <w:t>Y42.3</w:t>
            </w:r>
            <w:r>
              <w:rPr>
                <w:color w:val="auto"/>
                <w:spacing w:val="-2"/>
                <w:lang w:eastAsia="zh-CN"/>
              </w:rPr>
              <w:t>的出院患者）、抗肿瘤药物（</w:t>
            </w:r>
            <w:r>
              <w:rPr>
                <w:rFonts w:ascii="Times New Roman" w:hAnsi="Times New Roman" w:eastAsia="Times New Roman" w:cs="Times New Roman"/>
                <w:color w:val="auto"/>
                <w:spacing w:val="-2"/>
                <w:lang w:eastAsia="zh-CN"/>
              </w:rPr>
              <w:t>Y43.1</w:t>
            </w:r>
            <w:r>
              <w:rPr>
                <w:color w:val="auto"/>
                <w:spacing w:val="-2"/>
                <w:lang w:eastAsia="zh-CN"/>
              </w:rPr>
              <w:t>，</w:t>
            </w:r>
            <w:r>
              <w:rPr>
                <w:rFonts w:ascii="Times New Roman" w:hAnsi="Times New Roman" w:eastAsia="Times New Roman" w:cs="Times New Roman"/>
                <w:color w:val="auto"/>
                <w:spacing w:val="-2"/>
                <w:lang w:eastAsia="zh-CN"/>
              </w:rPr>
              <w:t>Y</w:t>
            </w:r>
            <w:r>
              <w:rPr>
                <w:rFonts w:ascii="Times New Roman" w:hAnsi="Times New Roman" w:eastAsia="Times New Roman" w:cs="Times New Roman"/>
                <w:color w:val="auto"/>
                <w:spacing w:val="-3"/>
                <w:lang w:eastAsia="zh-CN"/>
              </w:rPr>
              <w:t>43.3</w:t>
            </w:r>
            <w:r>
              <w:rPr>
                <w:color w:val="auto"/>
                <w:spacing w:val="3"/>
                <w:lang w:eastAsia="zh-CN"/>
              </w:rPr>
              <w:t>的出院患者）、抗凝剂（</w:t>
            </w:r>
            <w:r>
              <w:rPr>
                <w:rFonts w:ascii="Times New Roman" w:hAnsi="Times New Roman" w:eastAsia="Times New Roman" w:cs="Times New Roman"/>
                <w:color w:val="auto"/>
                <w:spacing w:val="3"/>
                <w:lang w:eastAsia="zh-CN"/>
              </w:rPr>
              <w:t>Y44.2</w:t>
            </w:r>
            <w:r>
              <w:rPr>
                <w:color w:val="auto"/>
                <w:spacing w:val="3"/>
                <w:lang w:eastAsia="zh-CN"/>
              </w:rPr>
              <w:t>，</w:t>
            </w:r>
            <w:r>
              <w:rPr>
                <w:rFonts w:ascii="Times New Roman" w:hAnsi="Times New Roman" w:eastAsia="Times New Roman" w:cs="Times New Roman"/>
                <w:color w:val="auto"/>
                <w:spacing w:val="3"/>
                <w:lang w:eastAsia="zh-CN"/>
              </w:rPr>
              <w:t>Y44.3</w:t>
            </w:r>
            <w:r>
              <w:rPr>
                <w:color w:val="auto"/>
                <w:spacing w:val="3"/>
                <w:lang w:eastAsia="zh-CN"/>
              </w:rPr>
              <w:t>，</w:t>
            </w:r>
            <w:r>
              <w:rPr>
                <w:rFonts w:ascii="Times New Roman" w:hAnsi="Times New Roman" w:eastAsia="Times New Roman" w:cs="Times New Roman"/>
                <w:color w:val="auto"/>
                <w:spacing w:val="2"/>
                <w:lang w:eastAsia="zh-CN"/>
              </w:rPr>
              <w:t>Y44.4</w:t>
            </w:r>
            <w:r>
              <w:rPr>
                <w:color w:val="auto"/>
                <w:spacing w:val="2"/>
                <w:lang w:eastAsia="zh-CN"/>
              </w:rPr>
              <w:t>，</w:t>
            </w:r>
            <w:r>
              <w:rPr>
                <w:rFonts w:ascii="Times New Roman" w:hAnsi="Times New Roman" w:eastAsia="Times New Roman" w:cs="Times New Roman"/>
                <w:color w:val="auto"/>
                <w:spacing w:val="2"/>
                <w:lang w:eastAsia="zh-CN"/>
              </w:rPr>
              <w:t>Y44.5</w:t>
            </w:r>
            <w:r>
              <w:rPr>
                <w:color w:val="auto"/>
                <w:spacing w:val="2"/>
                <w:lang w:eastAsia="zh-CN"/>
              </w:rPr>
              <w:t>的出院患者）、镇痛药和解</w:t>
            </w:r>
            <w:r>
              <w:rPr>
                <w:color w:val="auto"/>
                <w:spacing w:val="-2"/>
                <w:lang w:eastAsia="zh-CN"/>
              </w:rPr>
              <w:t>热药（</w:t>
            </w:r>
            <w:r>
              <w:rPr>
                <w:rFonts w:ascii="Times New Roman" w:hAnsi="Times New Roman" w:eastAsia="Times New Roman" w:cs="Times New Roman"/>
                <w:color w:val="auto"/>
                <w:spacing w:val="-2"/>
                <w:lang w:eastAsia="zh-CN"/>
              </w:rPr>
              <w:t>Y45.0</w:t>
            </w:r>
            <w:r>
              <w:rPr>
                <w:color w:val="auto"/>
                <w:spacing w:val="-2"/>
                <w:lang w:eastAsia="zh-CN"/>
              </w:rPr>
              <w:t>至</w:t>
            </w:r>
            <w:r>
              <w:rPr>
                <w:rFonts w:ascii="Times New Roman" w:hAnsi="Times New Roman" w:eastAsia="Times New Roman" w:cs="Times New Roman"/>
                <w:color w:val="auto"/>
                <w:spacing w:val="-2"/>
                <w:lang w:eastAsia="zh-CN"/>
              </w:rPr>
              <w:t>Y45.9</w:t>
            </w:r>
            <w:r>
              <w:rPr>
                <w:color w:val="auto"/>
                <w:spacing w:val="-2"/>
                <w:lang w:eastAsia="zh-CN"/>
              </w:rPr>
              <w:t>的出院患者）、心血</w:t>
            </w:r>
            <w:r>
              <w:rPr>
                <w:color w:val="auto"/>
                <w:spacing w:val="-5"/>
                <w:lang w:eastAsia="zh-CN"/>
              </w:rPr>
              <w:t>管系统用药（</w:t>
            </w:r>
            <w:r>
              <w:rPr>
                <w:rFonts w:ascii="Times New Roman" w:hAnsi="Times New Roman" w:eastAsia="Times New Roman" w:cs="Times New Roman"/>
                <w:color w:val="auto"/>
                <w:spacing w:val="-5"/>
                <w:lang w:eastAsia="zh-CN"/>
              </w:rPr>
              <w:t>Y52.0</w:t>
            </w:r>
            <w:r>
              <w:rPr>
                <w:color w:val="auto"/>
                <w:spacing w:val="-5"/>
                <w:lang w:eastAsia="zh-CN"/>
              </w:rPr>
              <w:t>至</w:t>
            </w:r>
            <w:r>
              <w:rPr>
                <w:rFonts w:ascii="Times New Roman" w:hAnsi="Times New Roman" w:eastAsia="Times New Roman" w:cs="Times New Roman"/>
                <w:color w:val="auto"/>
                <w:spacing w:val="-5"/>
                <w:lang w:eastAsia="zh-CN"/>
              </w:rPr>
              <w:t>Y52.9</w:t>
            </w:r>
            <w:r>
              <w:rPr>
                <w:color w:val="auto"/>
                <w:spacing w:val="-5"/>
                <w:lang w:eastAsia="zh-CN"/>
              </w:rPr>
              <w:t>的出院患者）、</w:t>
            </w:r>
            <w:r>
              <w:rPr>
                <w:rFonts w:ascii="Times New Roman" w:hAnsi="Times New Roman" w:eastAsia="Times New Roman" w:cs="Times New Roman"/>
                <w:color w:val="auto"/>
                <w:spacing w:val="10"/>
                <w:lang w:eastAsia="zh-CN"/>
              </w:rPr>
              <w:t>X</w:t>
            </w:r>
            <w:r>
              <w:rPr>
                <w:color w:val="auto"/>
                <w:spacing w:val="10"/>
                <w:lang w:eastAsia="zh-CN"/>
              </w:rPr>
              <w:t>线造影剂及其他诊断性制剂（</w:t>
            </w:r>
            <w:r>
              <w:rPr>
                <w:rFonts w:ascii="Times New Roman" w:hAnsi="Times New Roman" w:eastAsia="Times New Roman" w:cs="Times New Roman"/>
                <w:color w:val="auto"/>
                <w:spacing w:val="10"/>
                <w:lang w:eastAsia="zh-CN"/>
              </w:rPr>
              <w:t>Y57.5</w:t>
            </w:r>
            <w:r>
              <w:rPr>
                <w:color w:val="auto"/>
                <w:spacing w:val="10"/>
                <w:lang w:eastAsia="zh-CN"/>
              </w:rPr>
              <w:t>，</w:t>
            </w:r>
            <w:r>
              <w:rPr>
                <w:rFonts w:ascii="Times New Roman" w:hAnsi="Times New Roman" w:eastAsia="Times New Roman" w:cs="Times New Roman"/>
                <w:color w:val="auto"/>
                <w:spacing w:val="2"/>
                <w:lang w:eastAsia="zh-CN"/>
              </w:rPr>
              <w:t>Y57.6</w:t>
            </w:r>
            <w:r>
              <w:rPr>
                <w:color w:val="auto"/>
                <w:spacing w:val="2"/>
                <w:lang w:eastAsia="zh-CN"/>
              </w:rPr>
              <w:t>的出院患者）等有害效应发生例数；</w:t>
            </w:r>
            <w:r>
              <w:rPr>
                <w:color w:val="auto"/>
                <w:spacing w:val="8"/>
                <w:lang w:eastAsia="zh-CN"/>
              </w:rPr>
              <w:t>以及住院患者中全身性抗菌药物、降血糖药物、抗肿瘤药物、抗凝剂、镇痛药和解</w:t>
            </w:r>
            <w:r>
              <w:rPr>
                <w:color w:val="auto"/>
                <w:spacing w:val="7"/>
                <w:lang w:eastAsia="zh-CN"/>
              </w:rPr>
              <w:t>热药、心血管系统用药、</w:t>
            </w:r>
            <w:r>
              <w:rPr>
                <w:rFonts w:ascii="Times New Roman" w:hAnsi="Times New Roman" w:eastAsia="Times New Roman" w:cs="Times New Roman"/>
                <w:color w:val="auto"/>
                <w:spacing w:val="7"/>
                <w:lang w:eastAsia="zh-CN"/>
              </w:rPr>
              <w:t>X</w:t>
            </w:r>
            <w:r>
              <w:rPr>
                <w:color w:val="auto"/>
                <w:spacing w:val="7"/>
                <w:lang w:eastAsia="zh-CN"/>
              </w:rPr>
              <w:t>线造影剂及其</w:t>
            </w:r>
            <w:r>
              <w:rPr>
                <w:color w:val="auto"/>
                <w:spacing w:val="8"/>
                <w:lang w:eastAsia="zh-CN"/>
              </w:rPr>
              <w:t>他诊断性制剂等有害效应发生例数占同期</w:t>
            </w:r>
            <w:r>
              <w:rPr>
                <w:color w:val="auto"/>
                <w:spacing w:val="3"/>
                <w:lang w:eastAsia="zh-CN"/>
              </w:rPr>
              <w:t>出院患者人次的比例。</w:t>
            </w:r>
          </w:p>
        </w:tc>
        <w:tc>
          <w:tcPr>
            <w:tcW w:w="29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 w:right="11" w:firstLine="14"/>
              <w:jc w:val="both"/>
              <w:rPr>
                <w:rFonts w:ascii="Times New Roman" w:hAnsi="Times New Roman" w:eastAsia="Times New Roman" w:cs="Times New Roman"/>
                <w:color w:val="auto"/>
                <w:lang w:eastAsia="zh-CN"/>
              </w:rPr>
            </w:pPr>
            <w:r>
              <w:rPr>
                <w:color w:val="auto"/>
                <w:spacing w:val="5"/>
                <w:lang w:eastAsia="zh-CN"/>
              </w:rPr>
              <w:t>临床用药所致的有害效应（不良事</w:t>
            </w:r>
            <w:r>
              <w:rPr>
                <w:color w:val="auto"/>
                <w:spacing w:val="11"/>
                <w:lang w:eastAsia="zh-CN"/>
              </w:rPr>
              <w:t>件）发生率</w:t>
            </w:r>
            <w:r>
              <w:rPr>
                <w:rFonts w:ascii="Times New Roman" w:hAnsi="Times New Roman" w:eastAsia="Times New Roman" w:cs="Times New Roman"/>
                <w:color w:val="auto"/>
                <w:spacing w:val="11"/>
                <w:lang w:eastAsia="zh-CN"/>
              </w:rPr>
              <w:t>=</w:t>
            </w:r>
            <w:r>
              <w:rPr>
                <w:color w:val="auto"/>
                <w:spacing w:val="11"/>
                <w:lang w:eastAsia="zh-CN"/>
              </w:rPr>
              <w:t>临床用药所致的有害</w:t>
            </w:r>
            <w:r>
              <w:rPr>
                <w:color w:val="auto"/>
                <w:spacing w:val="15"/>
                <w:lang w:eastAsia="zh-CN"/>
              </w:rPr>
              <w:t>效应（不良事件）发生例数</w:t>
            </w:r>
            <w:r>
              <w:rPr>
                <w:rFonts w:ascii="Times New Roman" w:hAnsi="Times New Roman" w:eastAsia="Times New Roman" w:cs="Times New Roman"/>
                <w:color w:val="auto"/>
                <w:spacing w:val="15"/>
                <w:lang w:eastAsia="zh-CN"/>
              </w:rPr>
              <w:t>/</w:t>
            </w:r>
            <w:r>
              <w:rPr>
                <w:color w:val="auto"/>
                <w:spacing w:val="15"/>
                <w:lang w:eastAsia="zh-CN"/>
              </w:rPr>
              <w:t>同期</w:t>
            </w:r>
            <w:r>
              <w:rPr>
                <w:color w:val="auto"/>
                <w:spacing w:val="5"/>
                <w:lang w:eastAsia="zh-CN"/>
              </w:rPr>
              <w:t>出院患者人次</w:t>
            </w:r>
            <w:r>
              <w:rPr>
                <w:rFonts w:ascii="Times New Roman" w:hAnsi="Times New Roman" w:eastAsia="Times New Roman" w:cs="Times New Roman"/>
                <w:color w:val="auto"/>
                <w:spacing w:val="5"/>
                <w:lang w:eastAsia="zh-CN"/>
              </w:rPr>
              <w:t>×100%</w:t>
            </w:r>
          </w:p>
        </w:tc>
        <w:tc>
          <w:tcPr>
            <w:tcW w:w="114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72"/>
              <w:rPr>
                <w:color w:val="auto"/>
              </w:rPr>
            </w:pPr>
            <w:r>
              <w:rPr>
                <w:color w:val="auto"/>
                <w:spacing w:val="8"/>
              </w:rPr>
              <w:t>逐步降低</w:t>
            </w:r>
          </w:p>
        </w:tc>
      </w:tr>
    </w:tbl>
    <w:p>
      <w:pPr>
        <w:spacing w:line="240" w:lineRule="exact"/>
        <w:rPr>
          <w:color w:val="auto"/>
        </w:rPr>
      </w:pPr>
    </w:p>
    <w:p>
      <w:pPr>
        <w:rPr>
          <w:color w:val="auto"/>
        </w:rPr>
        <w:sectPr>
          <w:footerReference r:id="rId26" w:type="default"/>
          <w:pgSz w:w="16839" w:h="11906"/>
          <w:pgMar w:top="1012" w:right="1260" w:bottom="1439" w:left="1511" w:header="0" w:footer="1277" w:gutter="0"/>
          <w:pgNumType w:fmt="numberInDash"/>
          <w:cols w:space="720" w:num="1"/>
        </w:sectPr>
      </w:pPr>
    </w:p>
    <w:p>
      <w:pPr>
        <w:spacing w:line="314" w:lineRule="auto"/>
        <w:rPr>
          <w:color w:val="auto"/>
        </w:rPr>
      </w:pPr>
    </w:p>
    <w:p>
      <w:pPr>
        <w:spacing w:line="315" w:lineRule="auto"/>
        <w:rPr>
          <w:color w:val="auto"/>
        </w:rPr>
      </w:pPr>
    </w:p>
    <w:p>
      <w:pPr>
        <w:spacing w:before="140" w:line="221" w:lineRule="auto"/>
        <w:ind w:left="4267"/>
        <w:rPr>
          <w:rFonts w:ascii="宋体" w:hAnsi="宋体" w:eastAsia="宋体" w:cs="宋体"/>
          <w:color w:val="auto"/>
          <w:sz w:val="43"/>
          <w:szCs w:val="43"/>
          <w:lang w:eastAsia="zh-CN"/>
        </w:rPr>
      </w:pPr>
      <w:r>
        <w:rPr>
          <w:rFonts w:ascii="宋体" w:hAnsi="宋体" w:eastAsia="宋体" w:cs="宋体"/>
          <w:color w:val="auto"/>
          <w:spacing w:val="8"/>
          <w:sz w:val="43"/>
          <w:szCs w:val="43"/>
          <w:lang w:eastAsia="zh-CN"/>
        </w:rPr>
        <w:t>第三章重点专业质量控制指标</w:t>
      </w:r>
    </w:p>
    <w:p>
      <w:pPr>
        <w:pStyle w:val="2"/>
        <w:spacing w:before="151" w:line="222" w:lineRule="auto"/>
        <w:ind w:left="41"/>
        <w:rPr>
          <w:color w:val="auto"/>
          <w:lang w:eastAsia="zh-CN"/>
        </w:rPr>
      </w:pPr>
      <w:r>
        <w:rPr>
          <w:color w:val="auto"/>
          <w:spacing w:val="4"/>
          <w:lang w:eastAsia="zh-CN"/>
        </w:rPr>
        <w:t>数据来源：</w:t>
      </w:r>
    </w:p>
    <w:p>
      <w:pPr>
        <w:pStyle w:val="2"/>
        <w:spacing w:before="186" w:line="560" w:lineRule="exact"/>
        <w:ind w:left="504"/>
        <w:rPr>
          <w:color w:val="auto"/>
          <w:lang w:eastAsia="zh-CN"/>
        </w:rPr>
      </w:pPr>
      <w:r>
        <w:rPr>
          <w:color w:val="auto"/>
          <w:spacing w:val="11"/>
          <w:position w:val="18"/>
          <w:lang w:eastAsia="zh-CN"/>
        </w:rPr>
        <w:t>（1）国家医疗质量管理与控制信息网（</w:t>
      </w:r>
      <w:r>
        <w:rPr>
          <w:color w:val="auto"/>
          <w:position w:val="18"/>
          <w:lang w:eastAsia="zh-CN"/>
        </w:rPr>
        <w:t>NCIS</w:t>
      </w:r>
      <w:r>
        <w:rPr>
          <w:color w:val="auto"/>
          <w:spacing w:val="11"/>
          <w:position w:val="18"/>
          <w:lang w:eastAsia="zh-CN"/>
        </w:rPr>
        <w:t>）</w:t>
      </w:r>
    </w:p>
    <w:p>
      <w:pPr>
        <w:pStyle w:val="2"/>
        <w:spacing w:line="222" w:lineRule="auto"/>
        <w:ind w:left="504"/>
        <w:rPr>
          <w:color w:val="auto"/>
          <w:lang w:eastAsia="zh-CN"/>
        </w:rPr>
      </w:pPr>
      <w:r>
        <w:rPr>
          <w:color w:val="auto"/>
          <w:spacing w:val="11"/>
          <w:lang w:eastAsia="zh-CN"/>
        </w:rPr>
        <w:t>（2）全国医院质量监测系统（</w:t>
      </w:r>
      <w:r>
        <w:rPr>
          <w:color w:val="auto"/>
          <w:lang w:eastAsia="zh-CN"/>
        </w:rPr>
        <w:t>HQMS</w:t>
      </w:r>
      <w:r>
        <w:rPr>
          <w:color w:val="auto"/>
          <w:spacing w:val="11"/>
          <w:lang w:eastAsia="zh-CN"/>
        </w:rPr>
        <w:t>）</w:t>
      </w:r>
    </w:p>
    <w:p>
      <w:pPr>
        <w:pStyle w:val="2"/>
        <w:spacing w:before="188" w:line="559" w:lineRule="exact"/>
        <w:ind w:left="504"/>
        <w:rPr>
          <w:color w:val="auto"/>
          <w:lang w:eastAsia="zh-CN"/>
        </w:rPr>
      </w:pPr>
      <w:r>
        <w:rPr>
          <w:color w:val="auto"/>
          <w:spacing w:val="10"/>
          <w:position w:val="18"/>
          <w:lang w:eastAsia="zh-CN"/>
        </w:rPr>
        <w:t>（3）广东省卫生健康统计信息网络直报系统</w:t>
      </w:r>
    </w:p>
    <w:p>
      <w:pPr>
        <w:pStyle w:val="2"/>
        <w:spacing w:line="221" w:lineRule="auto"/>
        <w:ind w:left="504"/>
        <w:rPr>
          <w:color w:val="auto"/>
          <w:lang w:eastAsia="zh-CN"/>
        </w:rPr>
      </w:pPr>
      <w:r>
        <w:rPr>
          <w:color w:val="auto"/>
          <w:spacing w:val="10"/>
          <w:lang w:eastAsia="zh-CN"/>
        </w:rPr>
        <w:t>（4）</w:t>
      </w:r>
      <w:r>
        <w:rPr>
          <w:rFonts w:hint="eastAsia"/>
          <w:color w:val="auto"/>
          <w:spacing w:val="10"/>
          <w:lang w:eastAsia="zh-CN"/>
        </w:rPr>
        <w:t>省市</w:t>
      </w:r>
      <w:r>
        <w:rPr>
          <w:color w:val="auto"/>
          <w:spacing w:val="10"/>
          <w:lang w:eastAsia="zh-CN"/>
        </w:rPr>
        <w:t>医院评审信息化平台</w:t>
      </w:r>
    </w:p>
    <w:p>
      <w:pPr>
        <w:spacing w:before="60"/>
        <w:rPr>
          <w:color w:val="auto"/>
          <w:lang w:eastAsia="zh-CN"/>
        </w:rPr>
      </w:pPr>
    </w:p>
    <w:p>
      <w:pPr>
        <w:spacing w:before="59"/>
        <w:rPr>
          <w:color w:val="auto"/>
          <w:lang w:eastAsia="zh-CN"/>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206" w:line="230" w:lineRule="auto"/>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205" w:line="232" w:lineRule="auto"/>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205" w:line="231" w:lineRule="auto"/>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205" w:line="231" w:lineRule="auto"/>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205" w:line="230" w:lineRule="auto"/>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205" w:line="232" w:lineRule="auto"/>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201" w:line="231" w:lineRule="auto"/>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269" w:type="dxa"/>
            <w:vMerge w:val="restart"/>
            <w:tcBorders>
              <w:bottom w:val="nil"/>
            </w:tcBorders>
          </w:tcPr>
          <w:p>
            <w:pPr>
              <w:spacing w:line="272" w:lineRule="auto"/>
              <w:rPr>
                <w:color w:val="auto"/>
                <w:lang w:eastAsia="zh-CN"/>
              </w:rPr>
            </w:pPr>
          </w:p>
          <w:p>
            <w:pPr>
              <w:spacing w:line="272" w:lineRule="auto"/>
              <w:rPr>
                <w:color w:val="auto"/>
                <w:lang w:eastAsia="zh-CN"/>
              </w:rPr>
            </w:pPr>
          </w:p>
          <w:p>
            <w:pPr>
              <w:spacing w:line="272" w:lineRule="auto"/>
              <w:rPr>
                <w:color w:val="auto"/>
                <w:lang w:eastAsia="zh-CN"/>
              </w:rPr>
            </w:pPr>
          </w:p>
          <w:p>
            <w:pPr>
              <w:spacing w:line="273" w:lineRule="auto"/>
              <w:rPr>
                <w:color w:val="auto"/>
                <w:lang w:eastAsia="zh-CN"/>
              </w:rPr>
            </w:pPr>
          </w:p>
          <w:p>
            <w:pPr>
              <w:pStyle w:val="8"/>
              <w:spacing w:before="61" w:line="231" w:lineRule="auto"/>
              <w:ind w:left="25" w:right="15" w:firstLine="10"/>
              <w:jc w:val="both"/>
              <w:rPr>
                <w:color w:val="auto"/>
                <w:lang w:eastAsia="zh-CN"/>
              </w:rPr>
            </w:pPr>
            <w:r>
              <w:rPr>
                <w:color w:val="auto"/>
                <w:spacing w:val="12"/>
                <w:lang w:eastAsia="zh-CN"/>
              </w:rPr>
              <w:t>一、麻醉专业</w:t>
            </w:r>
            <w:r>
              <w:rPr>
                <w:color w:val="auto"/>
                <w:spacing w:val="13"/>
                <w:lang w:eastAsia="zh-CN"/>
              </w:rPr>
              <w:t>医疗质量控制</w:t>
            </w:r>
            <w:r>
              <w:rPr>
                <w:color w:val="auto"/>
                <w:spacing w:val="4"/>
                <w:lang w:eastAsia="zh-CN"/>
              </w:rPr>
              <w:t>指标</w:t>
            </w:r>
          </w:p>
        </w:tc>
        <w:tc>
          <w:tcPr>
            <w:tcW w:w="1956" w:type="dxa"/>
          </w:tcPr>
          <w:p>
            <w:pPr>
              <w:spacing w:line="286" w:lineRule="auto"/>
              <w:rPr>
                <w:color w:val="auto"/>
                <w:lang w:eastAsia="zh-CN"/>
              </w:rPr>
            </w:pPr>
          </w:p>
          <w:p>
            <w:pPr>
              <w:spacing w:line="286" w:lineRule="auto"/>
              <w:rPr>
                <w:color w:val="auto"/>
                <w:lang w:eastAsia="zh-CN"/>
              </w:rPr>
            </w:pPr>
          </w:p>
          <w:p>
            <w:pPr>
              <w:pStyle w:val="8"/>
              <w:spacing w:before="62" w:line="225" w:lineRule="auto"/>
              <w:ind w:left="15"/>
              <w:rPr>
                <w:color w:val="auto"/>
              </w:rPr>
            </w:pPr>
            <w:r>
              <w:rPr>
                <w:color w:val="auto"/>
                <w:spacing w:val="4"/>
              </w:rPr>
              <w:t>（一）麻醉科医护比</w:t>
            </w:r>
          </w:p>
        </w:tc>
        <w:tc>
          <w:tcPr>
            <w:tcW w:w="1814" w:type="dxa"/>
          </w:tcPr>
          <w:p>
            <w:pPr>
              <w:spacing w:line="452" w:lineRule="auto"/>
              <w:rPr>
                <w:color w:val="auto"/>
                <w:lang w:eastAsia="zh-CN"/>
              </w:rPr>
            </w:pPr>
          </w:p>
          <w:p>
            <w:pPr>
              <w:pStyle w:val="8"/>
              <w:spacing w:before="61" w:line="230" w:lineRule="auto"/>
              <w:ind w:left="27" w:right="12" w:hanging="7"/>
              <w:rPr>
                <w:color w:val="auto"/>
                <w:lang w:eastAsia="zh-CN"/>
              </w:rPr>
            </w:pPr>
            <w:r>
              <w:rPr>
                <w:color w:val="auto"/>
                <w:spacing w:val="7"/>
                <w:lang w:eastAsia="zh-CN"/>
              </w:rPr>
              <w:t>定量指标，连续监测类指标，必填指标</w:t>
            </w:r>
          </w:p>
        </w:tc>
        <w:tc>
          <w:tcPr>
            <w:tcW w:w="960" w:type="dxa"/>
          </w:tcPr>
          <w:p>
            <w:pPr>
              <w:spacing w:line="452" w:lineRule="auto"/>
              <w:rPr>
                <w:color w:val="auto"/>
                <w:lang w:eastAsia="zh-CN"/>
              </w:rPr>
            </w:pPr>
          </w:p>
          <w:p>
            <w:pPr>
              <w:pStyle w:val="8"/>
              <w:spacing w:before="62" w:line="227" w:lineRule="auto"/>
              <w:ind w:left="65"/>
              <w:rPr>
                <w:color w:val="auto"/>
              </w:rPr>
            </w:pPr>
            <w:r>
              <w:rPr>
                <w:color w:val="auto"/>
                <w:spacing w:val="-1"/>
              </w:rPr>
              <w:t>比值（</w:t>
            </w:r>
            <w:r>
              <w:rPr>
                <w:rFonts w:ascii="Times New Roman" w:hAnsi="Times New Roman" w:eastAsia="Times New Roman" w:cs="Times New Roman"/>
                <w:color w:val="auto"/>
                <w:spacing w:val="-1"/>
              </w:rPr>
              <w:t>1</w:t>
            </w:r>
            <w:r>
              <w:rPr>
                <w:color w:val="auto"/>
                <w:spacing w:val="-1"/>
              </w:rPr>
              <w:t>：</w:t>
            </w:r>
          </w:p>
          <w:p>
            <w:pPr>
              <w:pStyle w:val="8"/>
              <w:spacing w:before="6"/>
              <w:ind w:left="307"/>
              <w:rPr>
                <w:color w:val="auto"/>
              </w:rPr>
            </w:pPr>
            <w:r>
              <w:rPr>
                <w:rFonts w:ascii="Times New Roman" w:hAnsi="Times New Roman" w:eastAsia="Times New Roman" w:cs="Times New Roman"/>
                <w:color w:val="auto"/>
                <w:spacing w:val="4"/>
              </w:rPr>
              <w:t>X</w:t>
            </w:r>
            <w:r>
              <w:rPr>
                <w:color w:val="auto"/>
                <w:spacing w:val="4"/>
              </w:rPr>
              <w:t>）</w:t>
            </w:r>
          </w:p>
        </w:tc>
        <w:tc>
          <w:tcPr>
            <w:tcW w:w="2939" w:type="dxa"/>
          </w:tcPr>
          <w:p>
            <w:pPr>
              <w:spacing w:line="459" w:lineRule="auto"/>
              <w:rPr>
                <w:color w:val="auto"/>
                <w:lang w:eastAsia="zh-CN"/>
              </w:rPr>
            </w:pPr>
          </w:p>
          <w:p>
            <w:pPr>
              <w:pStyle w:val="8"/>
              <w:spacing w:before="61" w:line="241" w:lineRule="auto"/>
              <w:ind w:left="26" w:right="153" w:hanging="9"/>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麻醉科护士总数</w:t>
            </w:r>
            <w:r>
              <w:rPr>
                <w:rFonts w:ascii="Times New Roman" w:hAnsi="Times New Roman" w:eastAsia="Times New Roman" w:cs="Times New Roman"/>
                <w:color w:val="auto"/>
                <w:spacing w:val="8"/>
                <w:lang w:eastAsia="zh-CN"/>
              </w:rPr>
              <w:t>/</w:t>
            </w:r>
            <w:r>
              <w:rPr>
                <w:color w:val="auto"/>
                <w:spacing w:val="8"/>
                <w:lang w:eastAsia="zh-CN"/>
              </w:rPr>
              <w:t>麻醉科医师总</w:t>
            </w:r>
            <w:r>
              <w:rPr>
                <w:color w:val="auto"/>
                <w:lang w:eastAsia="zh-CN"/>
              </w:rPr>
              <w:t>数</w:t>
            </w:r>
          </w:p>
        </w:tc>
        <w:tc>
          <w:tcPr>
            <w:tcW w:w="3944" w:type="dxa"/>
          </w:tcPr>
          <w:p>
            <w:pPr>
              <w:pStyle w:val="8"/>
              <w:spacing w:before="66" w:line="225" w:lineRule="auto"/>
              <w:ind w:left="16"/>
              <w:rPr>
                <w:color w:val="auto"/>
                <w:lang w:eastAsia="zh-CN"/>
              </w:rPr>
            </w:pPr>
            <w:r>
              <w:rPr>
                <w:color w:val="auto"/>
                <w:spacing w:val="9"/>
                <w:lang w:eastAsia="zh-CN"/>
              </w:rPr>
              <w:t>麻醉科护士人数与麻醉科医师人数之比。</w:t>
            </w:r>
          </w:p>
          <w:p>
            <w:pPr>
              <w:pStyle w:val="8"/>
              <w:spacing w:before="6" w:line="222" w:lineRule="auto"/>
              <w:ind w:left="16" w:firstLine="5"/>
              <w:rPr>
                <w:color w:val="auto"/>
                <w:lang w:eastAsia="zh-CN"/>
              </w:rPr>
            </w:pPr>
            <w:r>
              <w:rPr>
                <w:color w:val="auto"/>
                <w:spacing w:val="3"/>
                <w:lang w:eastAsia="zh-CN"/>
              </w:rPr>
              <w:t>说明：麻醉科护士是指专职配合麻醉医师开展</w:t>
            </w:r>
            <w:r>
              <w:rPr>
                <w:color w:val="auto"/>
                <w:spacing w:val="6"/>
                <w:lang w:eastAsia="zh-CN"/>
              </w:rPr>
              <w:t>麻醉宣教、心理护理、物品准备、信息核对、</w:t>
            </w:r>
            <w:r>
              <w:rPr>
                <w:color w:val="auto"/>
                <w:spacing w:val="3"/>
                <w:lang w:eastAsia="zh-CN"/>
              </w:rPr>
              <w:t>体位摆放、管路护理、仪器设备管理等护理工作的护士，不包括其他由麻醉科统一管理的手</w:t>
            </w:r>
            <w:r>
              <w:rPr>
                <w:color w:val="auto"/>
                <w:spacing w:val="5"/>
                <w:lang w:eastAsia="zh-CN"/>
              </w:rPr>
              <w:t>术室护士。</w:t>
            </w:r>
          </w:p>
        </w:tc>
        <w:tc>
          <w:tcPr>
            <w:tcW w:w="1177" w:type="dxa"/>
          </w:tcPr>
          <w:p>
            <w:pPr>
              <w:spacing w:line="286" w:lineRule="auto"/>
              <w:rPr>
                <w:color w:val="auto"/>
                <w:lang w:eastAsia="zh-CN"/>
              </w:rPr>
            </w:pPr>
          </w:p>
          <w:p>
            <w:pPr>
              <w:spacing w:line="286" w:lineRule="auto"/>
              <w:rPr>
                <w:color w:val="auto"/>
                <w:lang w:eastAsia="zh-CN"/>
              </w:rPr>
            </w:pPr>
          </w:p>
          <w:p>
            <w:pPr>
              <w:pStyle w:val="8"/>
              <w:spacing w:before="62" w:line="225" w:lineRule="auto"/>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269" w:type="dxa"/>
            <w:vMerge w:val="continue"/>
            <w:tcBorders>
              <w:top w:val="nil"/>
              <w:bottom w:val="nil"/>
            </w:tcBorders>
          </w:tcPr>
          <w:p>
            <w:pPr>
              <w:rPr>
                <w:color w:val="auto"/>
              </w:rPr>
            </w:pPr>
          </w:p>
        </w:tc>
        <w:tc>
          <w:tcPr>
            <w:tcW w:w="1956" w:type="dxa"/>
          </w:tcPr>
          <w:p>
            <w:pPr>
              <w:spacing w:line="457" w:lineRule="auto"/>
              <w:rPr>
                <w:color w:val="auto"/>
                <w:lang w:eastAsia="zh-CN"/>
              </w:rPr>
            </w:pPr>
          </w:p>
          <w:p>
            <w:pPr>
              <w:pStyle w:val="8"/>
              <w:spacing w:before="62" w:line="229" w:lineRule="auto"/>
              <w:ind w:left="13" w:right="13" w:firstLine="2"/>
              <w:rPr>
                <w:color w:val="auto"/>
                <w:lang w:eastAsia="zh-CN"/>
              </w:rPr>
            </w:pPr>
            <w:r>
              <w:rPr>
                <w:color w:val="auto"/>
                <w:spacing w:val="-3"/>
                <w:lang w:eastAsia="zh-CN"/>
              </w:rPr>
              <w:t>（二）麻醉医师人均年</w:t>
            </w:r>
            <w:r>
              <w:rPr>
                <w:color w:val="auto"/>
                <w:spacing w:val="9"/>
                <w:lang w:eastAsia="zh-CN"/>
              </w:rPr>
              <w:t>麻醉例次数</w:t>
            </w:r>
          </w:p>
        </w:tc>
        <w:tc>
          <w:tcPr>
            <w:tcW w:w="1814" w:type="dxa"/>
          </w:tcPr>
          <w:p>
            <w:pPr>
              <w:spacing w:line="456" w:lineRule="auto"/>
              <w:rPr>
                <w:color w:val="auto"/>
                <w:lang w:eastAsia="zh-CN"/>
              </w:rPr>
            </w:pPr>
          </w:p>
          <w:p>
            <w:pPr>
              <w:pStyle w:val="8"/>
              <w:spacing w:before="62" w:line="230" w:lineRule="auto"/>
              <w:ind w:left="27" w:right="12" w:hanging="7"/>
              <w:rPr>
                <w:color w:val="auto"/>
                <w:lang w:eastAsia="zh-CN"/>
              </w:rPr>
            </w:pPr>
            <w:r>
              <w:rPr>
                <w:color w:val="auto"/>
                <w:spacing w:val="7"/>
                <w:lang w:eastAsia="zh-CN"/>
              </w:rPr>
              <w:t>定量指标，连续监测类指标，必填指标</w:t>
            </w:r>
          </w:p>
        </w:tc>
        <w:tc>
          <w:tcPr>
            <w:tcW w:w="960" w:type="dxa"/>
          </w:tcPr>
          <w:p>
            <w:pPr>
              <w:spacing w:line="288" w:lineRule="auto"/>
              <w:rPr>
                <w:color w:val="auto"/>
                <w:lang w:eastAsia="zh-CN"/>
              </w:rPr>
            </w:pPr>
          </w:p>
          <w:p>
            <w:pPr>
              <w:spacing w:line="288" w:lineRule="auto"/>
              <w:rPr>
                <w:color w:val="auto"/>
                <w:lang w:eastAsia="zh-CN"/>
              </w:rPr>
            </w:pPr>
          </w:p>
          <w:p>
            <w:pPr>
              <w:pStyle w:val="8"/>
              <w:spacing w:before="62" w:line="227" w:lineRule="auto"/>
              <w:ind w:left="282"/>
              <w:rPr>
                <w:color w:val="auto"/>
              </w:rPr>
            </w:pPr>
            <w:r>
              <w:rPr>
                <w:color w:val="auto"/>
                <w:spacing w:val="6"/>
              </w:rPr>
              <w:t>例次</w:t>
            </w:r>
          </w:p>
        </w:tc>
        <w:tc>
          <w:tcPr>
            <w:tcW w:w="2939" w:type="dxa"/>
          </w:tcPr>
          <w:p>
            <w:pPr>
              <w:spacing w:line="461" w:lineRule="auto"/>
              <w:rPr>
                <w:color w:val="auto"/>
                <w:lang w:eastAsia="zh-CN"/>
              </w:rPr>
            </w:pPr>
          </w:p>
          <w:p>
            <w:pPr>
              <w:pStyle w:val="8"/>
              <w:spacing w:before="62"/>
              <w:ind w:left="27" w:right="153" w:hanging="10"/>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麻醉科年麻醉总例次数</w:t>
            </w:r>
            <w:r>
              <w:rPr>
                <w:rFonts w:ascii="Times New Roman" w:hAnsi="Times New Roman" w:eastAsia="Times New Roman" w:cs="Times New Roman"/>
                <w:color w:val="auto"/>
                <w:spacing w:val="8"/>
                <w:lang w:eastAsia="zh-CN"/>
              </w:rPr>
              <w:t>/</w:t>
            </w:r>
            <w:r>
              <w:rPr>
                <w:color w:val="auto"/>
                <w:spacing w:val="8"/>
                <w:lang w:eastAsia="zh-CN"/>
              </w:rPr>
              <w:t>同期麻醉科固定在岗医师总数</w:t>
            </w:r>
          </w:p>
        </w:tc>
        <w:tc>
          <w:tcPr>
            <w:tcW w:w="3944" w:type="dxa"/>
          </w:tcPr>
          <w:p>
            <w:pPr>
              <w:pStyle w:val="8"/>
              <w:spacing w:before="71" w:line="229" w:lineRule="auto"/>
              <w:ind w:left="16" w:right="12" w:firstLine="10"/>
              <w:rPr>
                <w:color w:val="auto"/>
                <w:lang w:eastAsia="zh-CN"/>
              </w:rPr>
            </w:pPr>
            <w:r>
              <w:rPr>
                <w:color w:val="auto"/>
                <w:spacing w:val="4"/>
                <w:lang w:eastAsia="zh-CN"/>
              </w:rPr>
              <w:t>单位时间内，麻醉科固定在岗医师平均完成的</w:t>
            </w:r>
            <w:r>
              <w:rPr>
                <w:color w:val="auto"/>
                <w:spacing w:val="7"/>
                <w:lang w:eastAsia="zh-CN"/>
              </w:rPr>
              <w:t>麻醉例次数。</w:t>
            </w:r>
          </w:p>
          <w:p>
            <w:pPr>
              <w:pStyle w:val="8"/>
              <w:spacing w:before="8" w:line="219" w:lineRule="auto"/>
              <w:ind w:left="16" w:right="10" w:firstLine="6"/>
              <w:jc w:val="both"/>
              <w:rPr>
                <w:color w:val="auto"/>
                <w:lang w:eastAsia="zh-CN"/>
              </w:rPr>
            </w:pPr>
            <w:r>
              <w:rPr>
                <w:color w:val="auto"/>
                <w:spacing w:val="5"/>
                <w:lang w:eastAsia="zh-CN"/>
              </w:rPr>
              <w:t>说明：麻醉科固定在岗医师总数是指在医疗机构内参与临床麻醉工作的本院麻醉科医师，不包含外院规培住院医师、进修医师、支援医师</w:t>
            </w:r>
            <w:r>
              <w:rPr>
                <w:color w:val="auto"/>
                <w:spacing w:val="8"/>
                <w:lang w:eastAsia="zh-CN"/>
              </w:rPr>
              <w:t>及多点执业医师。</w:t>
            </w:r>
          </w:p>
        </w:tc>
        <w:tc>
          <w:tcPr>
            <w:tcW w:w="1177" w:type="dxa"/>
          </w:tcPr>
          <w:p>
            <w:pPr>
              <w:spacing w:line="288" w:lineRule="auto"/>
              <w:rPr>
                <w:color w:val="auto"/>
                <w:lang w:eastAsia="zh-CN"/>
              </w:rPr>
            </w:pPr>
          </w:p>
          <w:p>
            <w:pPr>
              <w:spacing w:line="288" w:lineRule="auto"/>
              <w:rPr>
                <w:color w:val="auto"/>
                <w:lang w:eastAsia="zh-CN"/>
              </w:rPr>
            </w:pPr>
          </w:p>
          <w:p>
            <w:pPr>
              <w:pStyle w:val="8"/>
              <w:spacing w:before="62" w:line="225" w:lineRule="auto"/>
              <w:ind w:left="200"/>
              <w:rPr>
                <w:color w:val="auto"/>
              </w:rPr>
            </w:pPr>
            <w:r>
              <w:rPr>
                <w:color w:val="auto"/>
                <w:spacing w:val="6"/>
              </w:rPr>
              <w:t>监测比较</w:t>
            </w:r>
          </w:p>
        </w:tc>
      </w:tr>
    </w:tbl>
    <w:p>
      <w:pPr>
        <w:rPr>
          <w:color w:val="auto"/>
        </w:rPr>
      </w:pPr>
    </w:p>
    <w:p>
      <w:pPr>
        <w:rPr>
          <w:color w:val="auto"/>
        </w:rPr>
        <w:sectPr>
          <w:footerReference r:id="rId27" w:type="default"/>
          <w:pgSz w:w="16839" w:h="11906"/>
          <w:pgMar w:top="1012" w:right="1262" w:bottom="1439" w:left="1511" w:header="0" w:footer="1277" w:gutter="0"/>
          <w:pgNumType w:fmt="numberInDash"/>
          <w:cols w:space="720" w:num="1"/>
        </w:sectPr>
      </w:pPr>
    </w:p>
    <w:p>
      <w:pPr>
        <w:spacing w:before="18"/>
        <w:rPr>
          <w:color w:val="auto"/>
        </w:rPr>
      </w:pPr>
    </w:p>
    <w:p>
      <w:pPr>
        <w:spacing w:before="18"/>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9" w:type="dxa"/>
          </w:tcPr>
          <w:p>
            <w:pPr>
              <w:spacing w:before="204" w:line="230" w:lineRule="auto"/>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204" w:line="232" w:lineRule="auto"/>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204" w:line="231" w:lineRule="auto"/>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204" w:line="231" w:lineRule="auto"/>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204" w:line="230" w:lineRule="auto"/>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204" w:line="232" w:lineRule="auto"/>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202" w:line="231" w:lineRule="auto"/>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3" w:right="13" w:hanging="8"/>
              <w:rPr>
                <w:color w:val="auto"/>
                <w:lang w:eastAsia="zh-CN"/>
              </w:rPr>
            </w:pPr>
            <w:r>
              <w:rPr>
                <w:color w:val="auto"/>
                <w:spacing w:val="2"/>
                <w:lang w:eastAsia="zh-CN"/>
              </w:rPr>
              <w:t>（三）择期手术麻醉前</w:t>
            </w:r>
            <w:r>
              <w:rPr>
                <w:color w:val="auto"/>
                <w:spacing w:val="5"/>
                <w:lang w:eastAsia="zh-CN"/>
              </w:rPr>
              <w:t>访视率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2" w:right="14" w:firstLine="92"/>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单位时间内择期手术患者在进</w:t>
            </w:r>
            <w:r>
              <w:rPr>
                <w:color w:val="auto"/>
                <w:spacing w:val="3"/>
                <w:lang w:eastAsia="zh-CN"/>
              </w:rPr>
              <w:t>入手术室（含麻醉操作单元）前完成麻醉前访视（不等同于麻醉前签</w:t>
            </w:r>
            <w:r>
              <w:rPr>
                <w:color w:val="auto"/>
                <w:spacing w:val="8"/>
                <w:lang w:eastAsia="zh-CN"/>
              </w:rPr>
              <w:t>字）的例次数</w:t>
            </w:r>
            <w:r>
              <w:rPr>
                <w:rFonts w:ascii="Times New Roman" w:hAnsi="Times New Roman" w:eastAsia="Times New Roman" w:cs="Times New Roman"/>
                <w:color w:val="auto"/>
                <w:spacing w:val="8"/>
                <w:lang w:eastAsia="zh-CN"/>
              </w:rPr>
              <w:t>/</w:t>
            </w:r>
            <w:r>
              <w:rPr>
                <w:color w:val="auto"/>
                <w:spacing w:val="8"/>
                <w:lang w:eastAsia="zh-CN"/>
              </w:rPr>
              <w:t>同期麻醉科完成择</w:t>
            </w:r>
            <w:r>
              <w:rPr>
                <w:color w:val="auto"/>
                <w:spacing w:val="6"/>
                <w:lang w:eastAsia="zh-CN"/>
              </w:rPr>
              <w:t>期手术麻醉总例次数</w:t>
            </w:r>
            <w:r>
              <w:rPr>
                <w:rFonts w:ascii="Times New Roman" w:hAnsi="Times New Roman" w:eastAsia="Times New Roman" w:cs="Times New Roman"/>
                <w:color w:val="auto"/>
                <w:spacing w:val="6"/>
                <w:lang w:eastAsia="zh-CN"/>
              </w:rPr>
              <w:t>×100%</w:t>
            </w:r>
          </w:p>
        </w:tc>
        <w:tc>
          <w:tcPr>
            <w:tcW w:w="3944" w:type="dxa"/>
          </w:tcPr>
          <w:p>
            <w:pPr>
              <w:pStyle w:val="8"/>
              <w:spacing w:before="0" w:line="240" w:lineRule="exact"/>
              <w:ind w:left="16" w:right="10" w:firstLine="10"/>
              <w:jc w:val="both"/>
              <w:rPr>
                <w:color w:val="auto"/>
                <w:lang w:eastAsia="zh-CN"/>
              </w:rPr>
            </w:pPr>
            <w:r>
              <w:rPr>
                <w:color w:val="auto"/>
                <w:spacing w:val="5"/>
                <w:lang w:eastAsia="zh-CN"/>
              </w:rPr>
              <w:t>单位时间内，择期手术患者在进入手术室（含麻醉操作单元）前完成麻醉前访视（不等同于麻醉前签字）的例次数占同期麻醉科完成择期</w:t>
            </w:r>
            <w:r>
              <w:rPr>
                <w:color w:val="auto"/>
                <w:spacing w:val="8"/>
                <w:lang w:eastAsia="zh-CN"/>
              </w:rPr>
              <w:t>手术麻醉总例次数的比例。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0" w:right="13" w:hanging="5"/>
              <w:rPr>
                <w:color w:val="auto"/>
                <w:lang w:eastAsia="zh-CN"/>
              </w:rPr>
            </w:pPr>
            <w:r>
              <w:rPr>
                <w:color w:val="auto"/>
                <w:spacing w:val="2"/>
                <w:lang w:eastAsia="zh-CN"/>
              </w:rPr>
              <w:t>（四）麻醉开始后手术</w:t>
            </w:r>
            <w:r>
              <w:rPr>
                <w:color w:val="auto"/>
                <w:spacing w:val="6"/>
                <w:lang w:eastAsia="zh-CN"/>
              </w:rPr>
              <w:t>取消率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275" w:right="178"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23" w:right="67" w:hanging="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单位时间内麻醉开始后手术开</w:t>
            </w:r>
            <w:r>
              <w:rPr>
                <w:color w:val="auto"/>
                <w:spacing w:val="8"/>
                <w:lang w:eastAsia="zh-CN"/>
              </w:rPr>
              <w:t>始前手术取消的例次数</w:t>
            </w:r>
            <w:r>
              <w:rPr>
                <w:rFonts w:ascii="Times New Roman" w:hAnsi="Times New Roman" w:eastAsia="Times New Roman" w:cs="Times New Roman"/>
                <w:color w:val="auto"/>
                <w:spacing w:val="8"/>
                <w:lang w:eastAsia="zh-CN"/>
              </w:rPr>
              <w:t>/</w:t>
            </w:r>
            <w:r>
              <w:rPr>
                <w:color w:val="auto"/>
                <w:spacing w:val="8"/>
                <w:lang w:eastAsia="zh-CN"/>
              </w:rPr>
              <w:t>同期麻醉</w:t>
            </w:r>
            <w:r>
              <w:rPr>
                <w:color w:val="auto"/>
                <w:spacing w:val="3"/>
                <w:lang w:eastAsia="zh-CN"/>
              </w:rPr>
              <w:t>总例次数</w:t>
            </w:r>
            <w:r>
              <w:rPr>
                <w:rFonts w:ascii="Times New Roman" w:hAnsi="Times New Roman" w:eastAsia="Times New Roman" w:cs="Times New Roman"/>
                <w:color w:val="auto"/>
                <w:spacing w:val="3"/>
                <w:lang w:eastAsia="zh-CN"/>
              </w:rPr>
              <w:t>×1000%</w:t>
            </w:r>
          </w:p>
        </w:tc>
        <w:tc>
          <w:tcPr>
            <w:tcW w:w="3944" w:type="dxa"/>
          </w:tcPr>
          <w:p>
            <w:pPr>
              <w:pStyle w:val="8"/>
              <w:spacing w:before="0" w:line="240" w:lineRule="exact"/>
              <w:ind w:left="22" w:right="10" w:hanging="6"/>
              <w:jc w:val="both"/>
              <w:rPr>
                <w:color w:val="auto"/>
                <w:lang w:eastAsia="zh-CN"/>
              </w:rPr>
            </w:pPr>
            <w:r>
              <w:rPr>
                <w:color w:val="auto"/>
                <w:spacing w:val="15"/>
                <w:lang w:eastAsia="zh-CN"/>
              </w:rPr>
              <w:t>麻醉开始是指麻醉医师开始给予患者麻醉药</w:t>
            </w:r>
            <w:r>
              <w:rPr>
                <w:color w:val="auto"/>
                <w:spacing w:val="5"/>
                <w:lang w:eastAsia="zh-CN"/>
              </w:rPr>
              <w:t>物。该指标是指单位时间内，麻醉开始后到手术开始前，手术取消的例次数占同期麻醉总例</w:t>
            </w:r>
            <w:r>
              <w:rPr>
                <w:color w:val="auto"/>
                <w:spacing w:val="6"/>
                <w:lang w:eastAsia="zh-CN"/>
              </w:rPr>
              <w:t>次数的比例。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9" w:right="13" w:hanging="14"/>
              <w:rPr>
                <w:color w:val="auto"/>
                <w:lang w:eastAsia="zh-CN"/>
              </w:rPr>
            </w:pPr>
            <w:r>
              <w:rPr>
                <w:color w:val="auto"/>
                <w:spacing w:val="2"/>
                <w:lang w:eastAsia="zh-CN"/>
              </w:rPr>
              <w:t>（五）全身麻醉术中体</w:t>
            </w:r>
            <w:r>
              <w:rPr>
                <w:color w:val="auto"/>
                <w:spacing w:val="5"/>
                <w:lang w:eastAsia="zh-CN"/>
              </w:rPr>
              <w:t>温监测率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4"/>
                <w:lang w:eastAsia="zh-CN"/>
              </w:rPr>
              <w:t>=</w:t>
            </w:r>
            <w:r>
              <w:rPr>
                <w:color w:val="auto"/>
                <w:spacing w:val="4"/>
                <w:lang w:eastAsia="zh-CN"/>
              </w:rPr>
              <w:t>单位时间内手术麻醉期间接受体温监测（连续监测或间断监测）的全身麻醉例次数占同期全麻总</w:t>
            </w:r>
            <w:r>
              <w:rPr>
                <w:color w:val="auto"/>
                <w:lang w:eastAsia="zh-CN"/>
              </w:rPr>
              <w:t>例次数</w:t>
            </w:r>
            <w:r>
              <w:rPr>
                <w:rFonts w:ascii="Times New Roman" w:hAnsi="Times New Roman" w:eastAsia="Times New Roman" w:cs="Times New Roman"/>
                <w:color w:val="auto"/>
                <w:lang w:eastAsia="zh-CN"/>
              </w:rPr>
              <w:t>×100%</w:t>
            </w:r>
          </w:p>
        </w:tc>
        <w:tc>
          <w:tcPr>
            <w:tcW w:w="3944" w:type="dxa"/>
          </w:tcPr>
          <w:p>
            <w:pPr>
              <w:pStyle w:val="8"/>
              <w:spacing w:before="0" w:line="240" w:lineRule="exact"/>
              <w:ind w:left="16" w:right="10" w:firstLine="10"/>
              <w:jc w:val="both"/>
              <w:rPr>
                <w:color w:val="auto"/>
                <w:lang w:eastAsia="zh-CN"/>
              </w:rPr>
            </w:pPr>
            <w:r>
              <w:rPr>
                <w:color w:val="auto"/>
                <w:spacing w:val="5"/>
                <w:lang w:eastAsia="zh-CN"/>
              </w:rPr>
              <w:t>单位时间内，手术麻醉期间接受体温监测（连续监测或间断监测）的全身麻醉（以下简称全</w:t>
            </w:r>
            <w:r>
              <w:rPr>
                <w:color w:val="auto"/>
                <w:spacing w:val="9"/>
                <w:lang w:eastAsia="zh-CN"/>
              </w:rPr>
              <w:t>麻）例次数占同期全麻总例次数的比例。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5"/>
              <w:rPr>
                <w:color w:val="auto"/>
                <w:lang w:eastAsia="zh-CN"/>
              </w:rPr>
            </w:pPr>
            <w:r>
              <w:rPr>
                <w:color w:val="auto"/>
                <w:spacing w:val="2"/>
                <w:lang w:eastAsia="zh-CN"/>
              </w:rPr>
              <w:t>（六）术中主动保温率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14"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单位时间内手术麻醉期间采取</w:t>
            </w:r>
            <w:r>
              <w:rPr>
                <w:color w:val="auto"/>
                <w:spacing w:val="3"/>
                <w:lang w:eastAsia="zh-CN"/>
              </w:rPr>
              <w:t>主动保温措施（全程连续主动保温</w:t>
            </w:r>
            <w:r>
              <w:rPr>
                <w:color w:val="auto"/>
                <w:spacing w:val="8"/>
                <w:lang w:eastAsia="zh-CN"/>
              </w:rPr>
              <w:t>或间断主动保温）全麻例次数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5"/>
                <w:lang w:eastAsia="zh-CN"/>
              </w:rPr>
              <w:t>期全麻总例次数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19" w:right="10" w:firstLine="8"/>
              <w:jc w:val="both"/>
              <w:rPr>
                <w:color w:val="auto"/>
                <w:lang w:eastAsia="zh-CN"/>
              </w:rPr>
            </w:pPr>
            <w:r>
              <w:rPr>
                <w:color w:val="auto"/>
                <w:spacing w:val="4"/>
                <w:lang w:eastAsia="zh-CN"/>
              </w:rPr>
              <w:t>单位时间内，手术麻醉期间采取主动保温措施</w:t>
            </w:r>
            <w:r>
              <w:rPr>
                <w:color w:val="auto"/>
                <w:spacing w:val="5"/>
                <w:lang w:eastAsia="zh-CN"/>
              </w:rPr>
              <w:t>（全程连续主动保温或间断主动保温）全麻例</w:t>
            </w:r>
            <w:r>
              <w:rPr>
                <w:color w:val="auto"/>
                <w:spacing w:val="8"/>
                <w:lang w:eastAsia="zh-CN"/>
              </w:rPr>
              <w:t>次数占同期全麻总例次数的比例。</w:t>
            </w:r>
          </w:p>
          <w:p>
            <w:pPr>
              <w:pStyle w:val="8"/>
              <w:spacing w:before="0" w:line="240" w:lineRule="exact"/>
              <w:ind w:left="22" w:right="12"/>
              <w:jc w:val="both"/>
              <w:rPr>
                <w:color w:val="auto"/>
                <w:lang w:eastAsia="zh-CN"/>
              </w:rPr>
            </w:pPr>
            <w:r>
              <w:rPr>
                <w:color w:val="auto"/>
                <w:spacing w:val="5"/>
                <w:lang w:eastAsia="zh-CN"/>
              </w:rPr>
              <w:t>说明：主动保温措施包括：使用充气升温装置等加温设备进行体温保护；使用输血输液加温</w:t>
            </w:r>
            <w:r>
              <w:rPr>
                <w:color w:val="auto"/>
                <w:spacing w:val="7"/>
                <w:lang w:eastAsia="zh-CN"/>
              </w:rPr>
              <w:t>装置加温至</w:t>
            </w:r>
            <w:r>
              <w:rPr>
                <w:rFonts w:ascii="Times New Roman" w:hAnsi="Times New Roman" w:eastAsia="Times New Roman" w:cs="Times New Roman"/>
                <w:color w:val="auto"/>
                <w:spacing w:val="7"/>
                <w:lang w:eastAsia="zh-CN"/>
              </w:rPr>
              <w:t>37</w:t>
            </w:r>
            <w:r>
              <w:rPr>
                <w:rFonts w:ascii="宋体" w:hAnsi="宋体" w:eastAsia="宋体" w:cs="宋体"/>
                <w:color w:val="auto"/>
                <w:spacing w:val="7"/>
                <w:lang w:eastAsia="zh-CN"/>
              </w:rPr>
              <w:t>℃</w:t>
            </w:r>
            <w:r>
              <w:rPr>
                <w:color w:val="auto"/>
                <w:spacing w:val="7"/>
                <w:lang w:eastAsia="zh-CN"/>
              </w:rPr>
              <w:t>后再输注。</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3" w:right="13" w:firstLine="1"/>
              <w:rPr>
                <w:color w:val="auto"/>
                <w:lang w:eastAsia="zh-CN"/>
              </w:rPr>
            </w:pPr>
            <w:r>
              <w:rPr>
                <w:color w:val="auto"/>
                <w:spacing w:val="2"/>
                <w:lang w:eastAsia="zh-CN"/>
              </w:rPr>
              <w:t>（七）手术麻醉期间低</w:t>
            </w:r>
            <w:r>
              <w:rPr>
                <w:color w:val="auto"/>
                <w:spacing w:val="8"/>
                <w:lang w:eastAsia="zh-CN"/>
              </w:rPr>
              <w:t>体温发生率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2" w:right="11"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单位时间内手术麻醉期间低体</w:t>
            </w:r>
            <w:r>
              <w:rPr>
                <w:color w:val="auto"/>
                <w:spacing w:val="2"/>
                <w:lang w:eastAsia="zh-CN"/>
              </w:rPr>
              <w:t>温患者数（医疗目的的控制性降温</w:t>
            </w:r>
            <w:r>
              <w:rPr>
                <w:color w:val="auto"/>
                <w:spacing w:val="8"/>
                <w:lang w:eastAsia="zh-CN"/>
              </w:rPr>
              <w:t>除外）</w:t>
            </w:r>
            <w:r>
              <w:rPr>
                <w:rFonts w:ascii="Times New Roman" w:hAnsi="Times New Roman" w:eastAsia="Times New Roman" w:cs="Times New Roman"/>
                <w:color w:val="auto"/>
                <w:spacing w:val="8"/>
                <w:lang w:eastAsia="zh-CN"/>
              </w:rPr>
              <w:t>/</w:t>
            </w:r>
            <w:r>
              <w:rPr>
                <w:color w:val="auto"/>
                <w:spacing w:val="8"/>
                <w:lang w:eastAsia="zh-CN"/>
              </w:rPr>
              <w:t>同期接受体温监测的麻醉</w:t>
            </w:r>
            <w:r>
              <w:rPr>
                <w:color w:val="auto"/>
                <w:spacing w:val="2"/>
                <w:lang w:eastAsia="zh-CN"/>
              </w:rPr>
              <w:t>患者总数</w:t>
            </w:r>
            <w:r>
              <w:rPr>
                <w:rFonts w:ascii="Times New Roman" w:hAnsi="Times New Roman" w:eastAsia="Times New Roman" w:cs="Times New Roman"/>
                <w:color w:val="auto"/>
                <w:spacing w:val="2"/>
                <w:lang w:eastAsia="zh-CN"/>
              </w:rPr>
              <w:t>×100%</w:t>
            </w:r>
          </w:p>
        </w:tc>
        <w:tc>
          <w:tcPr>
            <w:tcW w:w="3944" w:type="dxa"/>
          </w:tcPr>
          <w:p>
            <w:pPr>
              <w:pStyle w:val="8"/>
              <w:spacing w:before="0" w:line="240" w:lineRule="exact"/>
              <w:ind w:left="22" w:right="10" w:firstLine="4"/>
              <w:jc w:val="both"/>
              <w:rPr>
                <w:color w:val="auto"/>
                <w:lang w:eastAsia="zh-CN"/>
              </w:rPr>
            </w:pPr>
            <w:r>
              <w:rPr>
                <w:color w:val="auto"/>
                <w:spacing w:val="5"/>
                <w:lang w:eastAsia="zh-CN"/>
              </w:rPr>
              <w:t>单位时间内，手术麻醉期间低体温患者数（医疗目的的控制性降温除外）占同期接受体温监</w:t>
            </w:r>
            <w:r>
              <w:rPr>
                <w:color w:val="auto"/>
                <w:spacing w:val="8"/>
                <w:lang w:eastAsia="zh-CN"/>
              </w:rPr>
              <w:t>测的麻醉患者总数的比例。</w:t>
            </w:r>
          </w:p>
          <w:p>
            <w:pPr>
              <w:pStyle w:val="8"/>
              <w:spacing w:before="0" w:line="240" w:lineRule="exact"/>
              <w:ind w:left="19" w:right="7" w:firstLine="3"/>
              <w:jc w:val="both"/>
              <w:rPr>
                <w:color w:val="auto"/>
                <w:lang w:eastAsia="zh-CN"/>
              </w:rPr>
            </w:pPr>
            <w:r>
              <w:rPr>
                <w:color w:val="auto"/>
                <w:spacing w:val="5"/>
                <w:lang w:eastAsia="zh-CN"/>
              </w:rPr>
              <w:t>说明：手术麻醉期间低体温是指患者进入手术</w:t>
            </w:r>
            <w:r>
              <w:rPr>
                <w:color w:val="auto"/>
                <w:spacing w:val="15"/>
                <w:lang w:eastAsia="zh-CN"/>
              </w:rPr>
              <w:t>间开始至患者自手术间或麻醉后监测治疗室</w:t>
            </w:r>
            <w:r>
              <w:rPr>
                <w:color w:val="auto"/>
                <w:spacing w:val="5"/>
                <w:lang w:eastAsia="zh-CN"/>
              </w:rPr>
              <w:t>（</w:t>
            </w:r>
            <w:r>
              <w:rPr>
                <w:rFonts w:ascii="Times New Roman" w:hAnsi="Times New Roman" w:eastAsia="Times New Roman" w:cs="Times New Roman"/>
                <w:color w:val="auto"/>
                <w:lang w:eastAsia="zh-CN"/>
              </w:rPr>
              <w:t>PACU</w:t>
            </w:r>
            <w:r>
              <w:rPr>
                <w:color w:val="auto"/>
                <w:spacing w:val="5"/>
                <w:lang w:eastAsia="zh-CN"/>
              </w:rPr>
              <w:t>）返回病房前核心体温低于</w:t>
            </w:r>
            <w:r>
              <w:rPr>
                <w:rFonts w:ascii="Times New Roman" w:hAnsi="Times New Roman" w:eastAsia="Times New Roman" w:cs="Times New Roman"/>
                <w:color w:val="auto"/>
                <w:spacing w:val="5"/>
                <w:lang w:eastAsia="zh-CN"/>
              </w:rPr>
              <w:t>36°C</w:t>
            </w:r>
            <w:r>
              <w:rPr>
                <w:color w:val="auto"/>
                <w:spacing w:val="5"/>
                <w:lang w:eastAsia="zh-CN"/>
              </w:rPr>
              <w:t>（连</w:t>
            </w:r>
            <w:r>
              <w:rPr>
                <w:color w:val="auto"/>
                <w:spacing w:val="15"/>
                <w:lang w:eastAsia="zh-CN"/>
              </w:rPr>
              <w:t>续监测低体温持续</w:t>
            </w:r>
            <w:r>
              <w:rPr>
                <w:rFonts w:ascii="Times New Roman" w:hAnsi="Times New Roman" w:eastAsia="Times New Roman" w:cs="Times New Roman"/>
                <w:color w:val="auto"/>
                <w:spacing w:val="15"/>
                <w:lang w:eastAsia="zh-CN"/>
              </w:rPr>
              <w:t>≥30</w:t>
            </w:r>
            <w:r>
              <w:rPr>
                <w:color w:val="auto"/>
                <w:spacing w:val="15"/>
                <w:lang w:eastAsia="zh-CN"/>
              </w:rPr>
              <w:t>分钟或间断监测连续</w:t>
            </w:r>
            <w:r>
              <w:rPr>
                <w:color w:val="auto"/>
                <w:spacing w:val="7"/>
                <w:lang w:eastAsia="zh-CN"/>
              </w:rPr>
              <w:t>两次低体温且间隔时间</w:t>
            </w:r>
            <w:r>
              <w:rPr>
                <w:rFonts w:ascii="Times New Roman" w:hAnsi="Times New Roman" w:eastAsia="Times New Roman" w:cs="Times New Roman"/>
                <w:color w:val="auto"/>
                <w:spacing w:val="7"/>
                <w:lang w:eastAsia="zh-CN"/>
              </w:rPr>
              <w:t>≥30</w:t>
            </w:r>
            <w:r>
              <w:rPr>
                <w:color w:val="auto"/>
                <w:spacing w:val="7"/>
                <w:lang w:eastAsia="zh-CN"/>
              </w:rPr>
              <w:t>分钟）。</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30" w:right="13" w:hanging="15"/>
              <w:rPr>
                <w:color w:val="auto"/>
                <w:lang w:eastAsia="zh-CN"/>
              </w:rPr>
            </w:pPr>
            <w:r>
              <w:rPr>
                <w:color w:val="auto"/>
                <w:spacing w:val="2"/>
                <w:lang w:eastAsia="zh-CN"/>
              </w:rPr>
              <w:t>（八）术中牙齿损伤发</w:t>
            </w:r>
            <w:r>
              <w:rPr>
                <w:color w:val="auto"/>
                <w:spacing w:val="-2"/>
                <w:lang w:eastAsia="zh-CN"/>
              </w:rPr>
              <w:t>生率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275" w:right="178"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27" w:right="67" w:firstLine="88"/>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单位时间内发生术中牙齿损伤</w:t>
            </w:r>
            <w:r>
              <w:rPr>
                <w:color w:val="auto"/>
                <w:spacing w:val="8"/>
                <w:lang w:eastAsia="zh-CN"/>
              </w:rPr>
              <w:t>的例次数</w:t>
            </w:r>
            <w:r>
              <w:rPr>
                <w:rFonts w:ascii="Times New Roman" w:hAnsi="Times New Roman" w:eastAsia="Times New Roman" w:cs="Times New Roman"/>
                <w:color w:val="auto"/>
                <w:spacing w:val="8"/>
                <w:lang w:eastAsia="zh-CN"/>
              </w:rPr>
              <w:t>/</w:t>
            </w:r>
            <w:r>
              <w:rPr>
                <w:color w:val="auto"/>
                <w:spacing w:val="8"/>
                <w:lang w:eastAsia="zh-CN"/>
              </w:rPr>
              <w:t>同期插管全身麻醉总例</w:t>
            </w:r>
            <w:r>
              <w:rPr>
                <w:color w:val="auto"/>
                <w:spacing w:val="1"/>
                <w:lang w:eastAsia="zh-CN"/>
              </w:rPr>
              <w:t>次数</w:t>
            </w:r>
            <w:r>
              <w:rPr>
                <w:rFonts w:ascii="Times New Roman" w:hAnsi="Times New Roman" w:eastAsia="Times New Roman" w:cs="Times New Roman"/>
                <w:color w:val="auto"/>
                <w:spacing w:val="1"/>
                <w:lang w:eastAsia="zh-CN"/>
              </w:rPr>
              <w:t>×1000‰</w:t>
            </w:r>
          </w:p>
        </w:tc>
        <w:tc>
          <w:tcPr>
            <w:tcW w:w="3944" w:type="dxa"/>
          </w:tcPr>
          <w:p>
            <w:pPr>
              <w:pStyle w:val="8"/>
              <w:spacing w:before="0" w:line="240" w:lineRule="exact"/>
              <w:ind w:left="25" w:right="12" w:firstLine="1"/>
              <w:rPr>
                <w:color w:val="auto"/>
                <w:lang w:eastAsia="zh-CN"/>
              </w:rPr>
            </w:pPr>
            <w:r>
              <w:rPr>
                <w:color w:val="auto"/>
                <w:spacing w:val="4"/>
                <w:lang w:eastAsia="zh-CN"/>
              </w:rPr>
              <w:t>单位时间内，发生术中牙齿损伤的例次数占同</w:t>
            </w:r>
            <w:r>
              <w:rPr>
                <w:color w:val="auto"/>
                <w:spacing w:val="8"/>
                <w:lang w:eastAsia="zh-CN"/>
              </w:rPr>
              <w:t>期插管全身麻醉总例次数的比例。</w:t>
            </w:r>
          </w:p>
          <w:p>
            <w:pPr>
              <w:pStyle w:val="8"/>
              <w:spacing w:before="0" w:line="240" w:lineRule="exact"/>
              <w:ind w:left="28" w:right="10" w:hanging="6"/>
              <w:rPr>
                <w:color w:val="auto"/>
                <w:lang w:eastAsia="zh-CN"/>
              </w:rPr>
            </w:pPr>
            <w:r>
              <w:rPr>
                <w:color w:val="auto"/>
                <w:spacing w:val="5"/>
                <w:lang w:eastAsia="zh-CN"/>
              </w:rPr>
              <w:t>说明：术中牙齿损伤是指患者从麻醉开始至麻</w:t>
            </w:r>
            <w:r>
              <w:rPr>
                <w:color w:val="auto"/>
                <w:spacing w:val="15"/>
                <w:lang w:eastAsia="zh-CN"/>
              </w:rPr>
              <w:t>醉结束过程中发生的牙齿损伤（包括牙齿脱</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autoSpaceDE/>
        <w:autoSpaceDN/>
        <w:spacing w:line="20" w:lineRule="exact"/>
        <w:rPr>
          <w:color w:val="auto"/>
          <w:sz w:val="8"/>
        </w:rPr>
      </w:pPr>
    </w:p>
    <w:p>
      <w:pPr>
        <w:autoSpaceDE/>
        <w:autoSpaceDN/>
        <w:spacing w:line="20" w:lineRule="exact"/>
        <w:rPr>
          <w:color w:val="auto"/>
          <w:sz w:val="8"/>
          <w:szCs w:val="8"/>
        </w:rPr>
        <w:sectPr>
          <w:footerReference r:id="rId28" w:type="default"/>
          <w:pgSz w:w="16839" w:h="11906"/>
          <w:pgMar w:top="1012" w:right="1262" w:bottom="1439" w:left="1511" w:header="0" w:footer="1277" w:gutter="0"/>
          <w:pgNumType w:fmt="numberInDash"/>
          <w:cols w:space="720" w:num="1"/>
        </w:sect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4" w:type="dxa"/>
          </w:tcPr>
          <w:p>
            <w:pPr>
              <w:pStyle w:val="8"/>
              <w:spacing w:before="0" w:line="240" w:lineRule="exact"/>
              <w:ind w:left="20" w:right="7" w:firstLine="12"/>
              <w:rPr>
                <w:color w:val="auto"/>
                <w:lang w:eastAsia="zh-CN"/>
              </w:rPr>
            </w:pPr>
            <w:r>
              <w:rPr>
                <w:color w:val="auto"/>
                <w:spacing w:val="4"/>
                <w:lang w:eastAsia="zh-CN"/>
              </w:rPr>
              <w:t>落、松动等）。气管内导管全麻及喉罩全麻均</w:t>
            </w:r>
            <w:r>
              <w:rPr>
                <w:color w:val="auto"/>
                <w:spacing w:val="7"/>
                <w:lang w:eastAsia="zh-CN"/>
              </w:rPr>
              <w:t>属于插管全身麻醉。</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1269" w:type="dxa"/>
            <w:vMerge w:val="continue"/>
            <w:tcBorders>
              <w:top w:val="nil"/>
              <w:bottom w:val="nil"/>
            </w:tcBorders>
          </w:tcPr>
          <w:p>
            <w:pPr>
              <w:spacing w:line="240" w:lineRule="exact"/>
              <w:rPr>
                <w:color w:val="auto"/>
                <w:lang w:eastAsia="zh-CN"/>
              </w:rPr>
            </w:pPr>
          </w:p>
        </w:tc>
        <w:tc>
          <w:tcPr>
            <w:tcW w:w="1956" w:type="dxa"/>
          </w:tcPr>
          <w:p>
            <w:pPr>
              <w:spacing w:line="240" w:lineRule="exact"/>
              <w:rPr>
                <w:color w:val="auto"/>
                <w:lang w:eastAsia="zh-CN"/>
              </w:rPr>
            </w:pPr>
          </w:p>
          <w:p>
            <w:pPr>
              <w:pStyle w:val="8"/>
              <w:spacing w:before="0" w:line="240" w:lineRule="exact"/>
              <w:ind w:left="19" w:right="13" w:hanging="4"/>
              <w:rPr>
                <w:color w:val="auto"/>
                <w:lang w:eastAsia="zh-CN"/>
              </w:rPr>
            </w:pPr>
            <w:r>
              <w:rPr>
                <w:color w:val="auto"/>
                <w:spacing w:val="2"/>
                <w:lang w:eastAsia="zh-CN"/>
              </w:rPr>
              <w:t>（九）麻醉期间严重反</w:t>
            </w:r>
            <w:r>
              <w:rPr>
                <w:color w:val="auto"/>
                <w:spacing w:val="8"/>
                <w:lang w:eastAsia="zh-CN"/>
              </w:rPr>
              <w:t>流误吸发生率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5"/>
              <w:rPr>
                <w:color w:val="auto"/>
              </w:rPr>
            </w:pPr>
            <w:r>
              <w:rPr>
                <w:color w:val="auto"/>
                <w:spacing w:val="3"/>
              </w:rPr>
              <w:t>万分比</w:t>
            </w:r>
          </w:p>
          <w:p>
            <w:pPr>
              <w:pStyle w:val="8"/>
              <w:spacing w:before="0" w:line="240" w:lineRule="exact"/>
              <w:ind w:left="32"/>
              <w:rPr>
                <w:rFonts w:ascii="MS UI Gothic" w:hAnsi="MS UI Gothic" w:eastAsia="MS UI Gothic" w:cs="MS UI Gothic"/>
                <w:color w:val="auto"/>
              </w:rPr>
            </w:pPr>
            <w:r>
              <w:rPr>
                <w:color w:val="auto"/>
                <w:spacing w:val="5"/>
              </w:rPr>
              <w:t>（</w:t>
            </w:r>
            <w:r>
              <w:rPr>
                <w:rFonts w:ascii="Times New Roman" w:hAnsi="Times New Roman" w:eastAsia="Times New Roman" w:cs="Times New Roman"/>
                <w:color w:val="auto"/>
                <w:spacing w:val="5"/>
              </w:rPr>
              <w:t>10000</w:t>
            </w:r>
            <w:r>
              <w:rPr>
                <w:rFonts w:ascii="MS UI Gothic" w:hAnsi="MS UI Gothic" w:eastAsia="MS UI Gothic" w:cs="MS UI Gothic"/>
                <w:color w:val="auto"/>
                <w:spacing w:val="5"/>
              </w:rPr>
              <w:t>‱</w:t>
            </w:r>
          </w:p>
          <w:p>
            <w:pPr>
              <w:pStyle w:val="8"/>
              <w:spacing w:before="0" w:line="240" w:lineRule="exact"/>
              <w:ind w:left="432"/>
              <w:rPr>
                <w:color w:val="auto"/>
              </w:rPr>
            </w:pPr>
            <w:r>
              <w:rPr>
                <w:color w:val="auto"/>
              </w:rPr>
              <w:t>)</w:t>
            </w:r>
          </w:p>
        </w:tc>
        <w:tc>
          <w:tcPr>
            <w:tcW w:w="2939" w:type="dxa"/>
          </w:tcPr>
          <w:p>
            <w:pPr>
              <w:spacing w:line="240" w:lineRule="exact"/>
              <w:rPr>
                <w:color w:val="auto"/>
                <w:lang w:eastAsia="zh-CN"/>
              </w:rPr>
            </w:pPr>
          </w:p>
          <w:p>
            <w:pPr>
              <w:pStyle w:val="8"/>
              <w:spacing w:before="0" w:line="240" w:lineRule="exact"/>
              <w:ind w:left="15" w:right="67" w:firstLine="99"/>
              <w:jc w:val="both"/>
              <w:rPr>
                <w:rFonts w:ascii="MS UI Gothic" w:hAnsi="MS UI Gothic" w:eastAsia="MS UI Gothic" w:cs="MS UI Gothic"/>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单位时间内麻醉期间严重反流误吸发生例次数</w:t>
            </w:r>
            <w:r>
              <w:rPr>
                <w:rFonts w:ascii="Times New Roman" w:hAnsi="Times New Roman" w:eastAsia="Times New Roman" w:cs="Times New Roman"/>
                <w:color w:val="auto"/>
                <w:spacing w:val="9"/>
                <w:lang w:eastAsia="zh-CN"/>
              </w:rPr>
              <w:t>/</w:t>
            </w:r>
            <w:r>
              <w:rPr>
                <w:color w:val="auto"/>
                <w:spacing w:val="9"/>
                <w:lang w:eastAsia="zh-CN"/>
              </w:rPr>
              <w:t>同期麻醉科完成</w:t>
            </w:r>
            <w:r>
              <w:rPr>
                <w:color w:val="auto"/>
                <w:spacing w:val="5"/>
                <w:lang w:eastAsia="zh-CN"/>
              </w:rPr>
              <w:t>麻醉总例次数</w:t>
            </w:r>
            <w:r>
              <w:rPr>
                <w:rFonts w:ascii="Times New Roman" w:hAnsi="Times New Roman" w:eastAsia="Times New Roman" w:cs="Times New Roman"/>
                <w:color w:val="auto"/>
                <w:spacing w:val="5"/>
                <w:lang w:eastAsia="zh-CN"/>
              </w:rPr>
              <w:t>×10000</w:t>
            </w:r>
            <w:r>
              <w:rPr>
                <w:rFonts w:ascii="MS UI Gothic" w:hAnsi="MS UI Gothic" w:eastAsia="MS UI Gothic" w:cs="MS UI Gothic"/>
                <w:color w:val="auto"/>
                <w:spacing w:val="5"/>
                <w:lang w:eastAsia="zh-CN"/>
              </w:rPr>
              <w:t>‱</w:t>
            </w:r>
          </w:p>
        </w:tc>
        <w:tc>
          <w:tcPr>
            <w:tcW w:w="3944" w:type="dxa"/>
          </w:tcPr>
          <w:p>
            <w:pPr>
              <w:pStyle w:val="8"/>
              <w:spacing w:before="0" w:line="240" w:lineRule="exact"/>
              <w:ind w:left="27" w:right="12"/>
              <w:rPr>
                <w:color w:val="auto"/>
                <w:lang w:eastAsia="zh-CN"/>
              </w:rPr>
            </w:pPr>
            <w:r>
              <w:rPr>
                <w:color w:val="auto"/>
                <w:spacing w:val="4"/>
                <w:lang w:eastAsia="zh-CN"/>
              </w:rPr>
              <w:t>单位时间内，麻醉期间严重反流误吸发生例次</w:t>
            </w:r>
            <w:r>
              <w:rPr>
                <w:color w:val="auto"/>
                <w:spacing w:val="8"/>
                <w:lang w:eastAsia="zh-CN"/>
              </w:rPr>
              <w:t>数占同期麻醉科完成麻醉总例次数的比例。</w:t>
            </w:r>
          </w:p>
          <w:p>
            <w:pPr>
              <w:pStyle w:val="8"/>
              <w:spacing w:before="0" w:line="240" w:lineRule="exact"/>
              <w:ind w:left="24" w:right="10" w:hanging="2"/>
              <w:rPr>
                <w:color w:val="auto"/>
                <w:lang w:eastAsia="zh-CN"/>
              </w:rPr>
            </w:pPr>
            <w:r>
              <w:rPr>
                <w:color w:val="auto"/>
                <w:spacing w:val="5"/>
                <w:lang w:eastAsia="zh-CN"/>
              </w:rPr>
              <w:t>说明：麻醉期间严重反流误吸是指麻醉期间发</w:t>
            </w:r>
            <w:r>
              <w:rPr>
                <w:color w:val="auto"/>
                <w:spacing w:val="12"/>
                <w:lang w:eastAsia="zh-CN"/>
              </w:rPr>
              <w:t>生的且在患者离开手术室</w:t>
            </w:r>
            <w:r>
              <w:rPr>
                <w:rFonts w:ascii="Times New Roman" w:hAnsi="Times New Roman" w:eastAsia="Times New Roman" w:cs="Times New Roman"/>
                <w:color w:val="auto"/>
                <w:spacing w:val="12"/>
                <w:lang w:eastAsia="zh-CN"/>
              </w:rPr>
              <w:t>/</w:t>
            </w:r>
            <w:r>
              <w:rPr>
                <w:color w:val="auto"/>
                <w:spacing w:val="12"/>
                <w:lang w:eastAsia="zh-CN"/>
              </w:rPr>
              <w:t>恢复室时呼吸空气</w:t>
            </w:r>
            <w:r>
              <w:rPr>
                <w:color w:val="auto"/>
                <w:spacing w:val="7"/>
                <w:lang w:eastAsia="zh-CN"/>
              </w:rPr>
              <w:t>指氧饱和度无法维持</w:t>
            </w:r>
            <w:r>
              <w:rPr>
                <w:rFonts w:ascii="Times New Roman" w:hAnsi="Times New Roman" w:eastAsia="Times New Roman" w:cs="Times New Roman"/>
                <w:color w:val="auto"/>
                <w:spacing w:val="7"/>
                <w:lang w:eastAsia="zh-CN"/>
              </w:rPr>
              <w:t>≥90%</w:t>
            </w:r>
            <w:r>
              <w:rPr>
                <w:color w:val="auto"/>
                <w:spacing w:val="7"/>
                <w:lang w:eastAsia="zh-CN"/>
              </w:rPr>
              <w:t>的反流误吸。</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11"/>
              <w:rPr>
                <w:color w:val="auto"/>
                <w:lang w:eastAsia="zh-CN"/>
              </w:rPr>
            </w:pPr>
            <w:r>
              <w:rPr>
                <w:color w:val="auto"/>
                <w:spacing w:val="2"/>
                <w:lang w:eastAsia="zh-CN"/>
              </w:rPr>
              <w:t>（十）计划外建立人工</w:t>
            </w:r>
            <w:r>
              <w:rPr>
                <w:color w:val="auto"/>
                <w:spacing w:val="6"/>
                <w:lang w:eastAsia="zh-CN"/>
              </w:rPr>
              <w:t>气道发生率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5" w:right="178"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pStyle w:val="8"/>
              <w:spacing w:before="0" w:line="240" w:lineRule="exact"/>
              <w:ind w:left="22" w:right="67" w:firstLine="92"/>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单位时间内计划外建立人工气</w:t>
            </w:r>
            <w:r>
              <w:rPr>
                <w:color w:val="auto"/>
                <w:spacing w:val="8"/>
                <w:lang w:eastAsia="zh-CN"/>
              </w:rPr>
              <w:t>道的麻醉科患者数</w:t>
            </w:r>
            <w:r>
              <w:rPr>
                <w:rFonts w:ascii="Times New Roman" w:hAnsi="Times New Roman" w:eastAsia="Times New Roman" w:cs="Times New Roman"/>
                <w:color w:val="auto"/>
                <w:spacing w:val="8"/>
                <w:lang w:eastAsia="zh-CN"/>
              </w:rPr>
              <w:t>/</w:t>
            </w:r>
            <w:r>
              <w:rPr>
                <w:color w:val="auto"/>
                <w:spacing w:val="8"/>
                <w:lang w:eastAsia="zh-CN"/>
              </w:rPr>
              <w:t>同期麻醉科患</w:t>
            </w:r>
            <w:r>
              <w:rPr>
                <w:color w:val="auto"/>
                <w:spacing w:val="3"/>
                <w:lang w:eastAsia="zh-CN"/>
              </w:rPr>
              <w:t>者总数</w:t>
            </w:r>
            <w:r>
              <w:rPr>
                <w:rFonts w:ascii="Times New Roman" w:hAnsi="Times New Roman" w:eastAsia="Times New Roman" w:cs="Times New Roman"/>
                <w:color w:val="auto"/>
                <w:spacing w:val="3"/>
                <w:lang w:eastAsia="zh-CN"/>
              </w:rPr>
              <w:t>×1000‰</w:t>
            </w:r>
          </w:p>
        </w:tc>
        <w:tc>
          <w:tcPr>
            <w:tcW w:w="3944" w:type="dxa"/>
          </w:tcPr>
          <w:p>
            <w:pPr>
              <w:pStyle w:val="8"/>
              <w:spacing w:before="0" w:line="240" w:lineRule="exact"/>
              <w:ind w:left="23" w:right="12" w:firstLine="3"/>
              <w:rPr>
                <w:color w:val="auto"/>
                <w:lang w:eastAsia="zh-CN"/>
              </w:rPr>
            </w:pPr>
            <w:r>
              <w:rPr>
                <w:color w:val="auto"/>
                <w:spacing w:val="4"/>
                <w:lang w:eastAsia="zh-CN"/>
              </w:rPr>
              <w:t>单位时间内，计划外建立人工气道的麻醉科患</w:t>
            </w:r>
            <w:r>
              <w:rPr>
                <w:color w:val="auto"/>
                <w:spacing w:val="8"/>
                <w:lang w:eastAsia="zh-CN"/>
              </w:rPr>
              <w:t>者数占同期麻醉科患者总数的比例。</w:t>
            </w:r>
          </w:p>
          <w:p>
            <w:pPr>
              <w:pStyle w:val="8"/>
              <w:spacing w:before="0" w:line="240" w:lineRule="exact"/>
              <w:ind w:left="20" w:right="10" w:firstLine="1"/>
              <w:jc w:val="both"/>
              <w:rPr>
                <w:color w:val="auto"/>
                <w:lang w:eastAsia="zh-CN"/>
              </w:rPr>
            </w:pPr>
            <w:r>
              <w:rPr>
                <w:color w:val="auto"/>
                <w:spacing w:val="5"/>
                <w:lang w:eastAsia="zh-CN"/>
              </w:rPr>
              <w:t>说明：计划外建立人工气道是指患者进入手术室后直至离开手术室前，因呼吸骤停或严重呼吸抑制等而进行的人工气道的建立，包括气管</w:t>
            </w:r>
            <w:r>
              <w:rPr>
                <w:color w:val="auto"/>
                <w:spacing w:val="8"/>
                <w:lang w:eastAsia="zh-CN"/>
              </w:rPr>
              <w:t>插管、喉罩置入和紧急气管造口术。</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5" w:right="13"/>
              <w:rPr>
                <w:color w:val="auto"/>
                <w:lang w:eastAsia="zh-CN"/>
              </w:rPr>
            </w:pPr>
            <w:r>
              <w:rPr>
                <w:color w:val="auto"/>
                <w:spacing w:val="18"/>
                <w:lang w:eastAsia="zh-CN"/>
              </w:rPr>
              <w:t>（十一）非计划转入</w:t>
            </w:r>
            <w:r>
              <w:rPr>
                <w:rFonts w:ascii="Times New Roman" w:hAnsi="Times New Roman" w:eastAsia="Times New Roman" w:cs="Times New Roman"/>
                <w:color w:val="auto"/>
                <w:lang w:eastAsia="zh-CN"/>
              </w:rPr>
              <w:t>ICU</w:t>
            </w:r>
            <w:r>
              <w:rPr>
                <w:color w:val="auto"/>
                <w:spacing w:val="10"/>
                <w:lang w:eastAsia="zh-CN"/>
              </w:rPr>
              <w:t>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275" w:right="178"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pStyle w:val="8"/>
              <w:spacing w:before="0" w:line="240" w:lineRule="exact"/>
              <w:ind w:left="27" w:right="14" w:hanging="10"/>
              <w:rPr>
                <w:color w:val="auto"/>
                <w:lang w:eastAsia="zh-CN"/>
              </w:rPr>
            </w:pPr>
            <w:r>
              <w:rPr>
                <w:rFonts w:ascii="Times New Roman" w:hAnsi="Times New Roman" w:eastAsia="Times New Roman" w:cs="Times New Roman"/>
                <w:color w:val="auto"/>
                <w:spacing w:val="14"/>
                <w:lang w:eastAsia="zh-CN"/>
              </w:rPr>
              <w:t>=</w:t>
            </w:r>
            <w:r>
              <w:rPr>
                <w:color w:val="auto"/>
                <w:spacing w:val="14"/>
                <w:lang w:eastAsia="zh-CN"/>
              </w:rPr>
              <w:t>单位时间内非计划转入</w:t>
            </w:r>
            <w:r>
              <w:rPr>
                <w:rFonts w:ascii="Times New Roman" w:hAnsi="Times New Roman" w:eastAsia="Times New Roman" w:cs="Times New Roman"/>
                <w:color w:val="auto"/>
                <w:lang w:eastAsia="zh-CN"/>
              </w:rPr>
              <w:t>ICU</w:t>
            </w:r>
            <w:r>
              <w:rPr>
                <w:color w:val="auto"/>
                <w:spacing w:val="14"/>
                <w:lang w:eastAsia="zh-CN"/>
              </w:rPr>
              <w:t>的麻</w:t>
            </w:r>
            <w:r>
              <w:rPr>
                <w:color w:val="auto"/>
                <w:spacing w:val="8"/>
                <w:lang w:eastAsia="zh-CN"/>
              </w:rPr>
              <w:t>醉患者数</w:t>
            </w:r>
            <w:r>
              <w:rPr>
                <w:rFonts w:ascii="Times New Roman" w:hAnsi="Times New Roman" w:eastAsia="Times New Roman" w:cs="Times New Roman"/>
                <w:color w:val="auto"/>
                <w:spacing w:val="8"/>
                <w:lang w:eastAsia="zh-CN"/>
              </w:rPr>
              <w:t>/</w:t>
            </w:r>
            <w:r>
              <w:rPr>
                <w:color w:val="auto"/>
                <w:spacing w:val="8"/>
                <w:lang w:eastAsia="zh-CN"/>
              </w:rPr>
              <w:t>同期麻醉患者总数</w:t>
            </w:r>
          </w:p>
          <w:p>
            <w:pPr>
              <w:spacing w:line="240" w:lineRule="exact"/>
              <w:ind w:left="29"/>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1"/>
                <w:position w:val="2"/>
                <w:sz w:val="19"/>
                <w:szCs w:val="19"/>
              </w:rPr>
              <w:t>×1000‰</w:t>
            </w:r>
          </w:p>
        </w:tc>
        <w:tc>
          <w:tcPr>
            <w:tcW w:w="3944" w:type="dxa"/>
          </w:tcPr>
          <w:p>
            <w:pPr>
              <w:pStyle w:val="8"/>
              <w:spacing w:before="0" w:line="240" w:lineRule="exact"/>
              <w:ind w:left="54" w:right="10" w:hanging="27"/>
              <w:rPr>
                <w:color w:val="auto"/>
                <w:lang w:eastAsia="zh-CN"/>
              </w:rPr>
            </w:pPr>
            <w:r>
              <w:rPr>
                <w:color w:val="auto"/>
                <w:spacing w:val="11"/>
                <w:lang w:eastAsia="zh-CN"/>
              </w:rPr>
              <w:t>单位时间内，非计划转入</w:t>
            </w:r>
            <w:r>
              <w:rPr>
                <w:rFonts w:ascii="Times New Roman" w:hAnsi="Times New Roman" w:eastAsia="Times New Roman" w:cs="Times New Roman"/>
                <w:color w:val="auto"/>
                <w:lang w:eastAsia="zh-CN"/>
              </w:rPr>
              <w:t>ICU</w:t>
            </w:r>
            <w:r>
              <w:rPr>
                <w:color w:val="auto"/>
                <w:spacing w:val="11"/>
                <w:lang w:eastAsia="zh-CN"/>
              </w:rPr>
              <w:t>的麻醉患者数</w:t>
            </w:r>
            <w:r>
              <w:rPr>
                <w:color w:val="auto"/>
                <w:spacing w:val="6"/>
                <w:lang w:eastAsia="zh-CN"/>
              </w:rPr>
              <w:t>占同期麻醉患者总数的比例。</w:t>
            </w:r>
          </w:p>
          <w:p>
            <w:pPr>
              <w:pStyle w:val="8"/>
              <w:spacing w:before="0" w:line="240" w:lineRule="exact"/>
              <w:ind w:left="19" w:right="10" w:firstLine="2"/>
              <w:jc w:val="both"/>
              <w:rPr>
                <w:color w:val="auto"/>
                <w:lang w:eastAsia="zh-CN"/>
              </w:rPr>
            </w:pPr>
            <w:r>
              <w:rPr>
                <w:color w:val="auto"/>
                <w:spacing w:val="11"/>
                <w:lang w:eastAsia="zh-CN"/>
              </w:rPr>
              <w:t>说明：非计划转入</w:t>
            </w:r>
            <w:r>
              <w:rPr>
                <w:rFonts w:ascii="Times New Roman" w:hAnsi="Times New Roman" w:eastAsia="Times New Roman" w:cs="Times New Roman"/>
                <w:color w:val="auto"/>
                <w:lang w:eastAsia="zh-CN"/>
              </w:rPr>
              <w:t>ICU</w:t>
            </w:r>
            <w:r>
              <w:rPr>
                <w:color w:val="auto"/>
                <w:spacing w:val="11"/>
                <w:lang w:eastAsia="zh-CN"/>
              </w:rPr>
              <w:t>是指在麻醉开始前并</w:t>
            </w:r>
            <w:r>
              <w:rPr>
                <w:color w:val="auto"/>
                <w:spacing w:val="12"/>
                <w:lang w:eastAsia="zh-CN"/>
              </w:rPr>
              <w:t>无转入</w:t>
            </w:r>
            <w:r>
              <w:rPr>
                <w:rFonts w:ascii="Times New Roman" w:hAnsi="Times New Roman" w:eastAsia="Times New Roman" w:cs="Times New Roman"/>
                <w:color w:val="auto"/>
                <w:lang w:eastAsia="zh-CN"/>
              </w:rPr>
              <w:t>ICU</w:t>
            </w:r>
            <w:r>
              <w:rPr>
                <w:color w:val="auto"/>
                <w:spacing w:val="12"/>
                <w:lang w:eastAsia="zh-CN"/>
              </w:rPr>
              <w:t>的计划，而术中或术后决定转入</w:t>
            </w:r>
            <w:r>
              <w:rPr>
                <w:rFonts w:ascii="Times New Roman" w:hAnsi="Times New Roman" w:eastAsia="Times New Roman" w:cs="Times New Roman"/>
                <w:color w:val="auto"/>
                <w:lang w:eastAsia="zh-CN"/>
              </w:rPr>
              <w:t>ICU</w:t>
            </w:r>
            <w:r>
              <w:rPr>
                <w:color w:val="auto"/>
                <w:spacing w:val="10"/>
                <w:lang w:eastAsia="zh-CN"/>
              </w:rPr>
              <w:t>。</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3" w:hanging="4"/>
              <w:rPr>
                <w:color w:val="auto"/>
                <w:lang w:eastAsia="zh-CN"/>
              </w:rPr>
            </w:pPr>
            <w:r>
              <w:rPr>
                <w:color w:val="auto"/>
                <w:spacing w:val="2"/>
                <w:lang w:eastAsia="zh-CN"/>
              </w:rPr>
              <w:t>（十二）非计划二次气</w:t>
            </w:r>
            <w:r>
              <w:rPr>
                <w:color w:val="auto"/>
                <w:spacing w:val="7"/>
                <w:lang w:eastAsia="zh-CN"/>
              </w:rPr>
              <w:t>管插管率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5" w:right="178"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单位时间内非计划二次气管插</w:t>
            </w:r>
            <w:r>
              <w:rPr>
                <w:color w:val="auto"/>
                <w:spacing w:val="8"/>
                <w:lang w:eastAsia="zh-CN"/>
              </w:rPr>
              <w:t>管患者数</w:t>
            </w:r>
            <w:r>
              <w:rPr>
                <w:rFonts w:ascii="Times New Roman" w:hAnsi="Times New Roman" w:eastAsia="Times New Roman" w:cs="Times New Roman"/>
                <w:color w:val="auto"/>
                <w:spacing w:val="8"/>
                <w:lang w:eastAsia="zh-CN"/>
              </w:rPr>
              <w:t>/</w:t>
            </w:r>
            <w:r>
              <w:rPr>
                <w:color w:val="auto"/>
                <w:spacing w:val="8"/>
                <w:lang w:eastAsia="zh-CN"/>
              </w:rPr>
              <w:t>同期术后气管插管拔除</w:t>
            </w:r>
            <w:r>
              <w:rPr>
                <w:color w:val="auto"/>
                <w:spacing w:val="4"/>
                <w:lang w:eastAsia="zh-CN"/>
              </w:rPr>
              <w:t>患者总数</w:t>
            </w:r>
            <w:r>
              <w:rPr>
                <w:rFonts w:ascii="Times New Roman" w:hAnsi="Times New Roman" w:eastAsia="Times New Roman" w:cs="Times New Roman"/>
                <w:color w:val="auto"/>
                <w:spacing w:val="4"/>
                <w:lang w:eastAsia="zh-CN"/>
              </w:rPr>
              <w:t>×1000%</w:t>
            </w:r>
          </w:p>
        </w:tc>
        <w:tc>
          <w:tcPr>
            <w:tcW w:w="3944" w:type="dxa"/>
          </w:tcPr>
          <w:p>
            <w:pPr>
              <w:pStyle w:val="8"/>
              <w:spacing w:before="0" w:line="240" w:lineRule="exact"/>
              <w:ind w:left="25" w:right="12" w:firstLine="1"/>
              <w:rPr>
                <w:color w:val="auto"/>
                <w:lang w:eastAsia="zh-CN"/>
              </w:rPr>
            </w:pPr>
            <w:r>
              <w:rPr>
                <w:color w:val="auto"/>
                <w:spacing w:val="4"/>
                <w:lang w:eastAsia="zh-CN"/>
              </w:rPr>
              <w:t>单位时间内，非计划二次气管插管患者数占同</w:t>
            </w:r>
            <w:r>
              <w:rPr>
                <w:color w:val="auto"/>
                <w:spacing w:val="8"/>
                <w:lang w:eastAsia="zh-CN"/>
              </w:rPr>
              <w:t>期术后气管插管拔除患者总数的比例。</w:t>
            </w:r>
          </w:p>
          <w:p>
            <w:pPr>
              <w:pStyle w:val="8"/>
              <w:spacing w:before="0" w:line="240" w:lineRule="exact"/>
              <w:ind w:left="20" w:right="10" w:firstLine="1"/>
              <w:jc w:val="both"/>
              <w:rPr>
                <w:color w:val="auto"/>
                <w:lang w:eastAsia="zh-CN"/>
              </w:rPr>
            </w:pPr>
            <w:r>
              <w:rPr>
                <w:color w:val="auto"/>
                <w:spacing w:val="5"/>
                <w:lang w:eastAsia="zh-CN"/>
              </w:rPr>
              <w:t>说明：非计划二次气管插管指患者术后气管插</w:t>
            </w:r>
            <w:r>
              <w:rPr>
                <w:color w:val="auto"/>
                <w:spacing w:val="13"/>
                <w:lang w:eastAsia="zh-CN"/>
              </w:rPr>
              <w:t>管拔除后</w:t>
            </w:r>
            <w:r>
              <w:rPr>
                <w:rFonts w:ascii="Times New Roman" w:hAnsi="Times New Roman" w:eastAsia="Times New Roman" w:cs="Times New Roman"/>
                <w:color w:val="auto"/>
                <w:spacing w:val="13"/>
                <w:lang w:eastAsia="zh-CN"/>
              </w:rPr>
              <w:t>6</w:t>
            </w:r>
            <w:r>
              <w:rPr>
                <w:color w:val="auto"/>
                <w:spacing w:val="13"/>
                <w:lang w:eastAsia="zh-CN"/>
              </w:rPr>
              <w:t>小时内，非计划再次行气管插管</w:t>
            </w:r>
            <w:r>
              <w:rPr>
                <w:color w:val="auto"/>
                <w:spacing w:val="5"/>
                <w:lang w:eastAsia="zh-CN"/>
              </w:rPr>
              <w:t>术，不包括因非计划二次手术而接受再次气管</w:t>
            </w:r>
            <w:r>
              <w:rPr>
                <w:color w:val="auto"/>
                <w:spacing w:val="4"/>
                <w:lang w:eastAsia="zh-CN"/>
              </w:rPr>
              <w:t>插管。</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4" w:right="13"/>
              <w:rPr>
                <w:color w:val="auto"/>
                <w:lang w:eastAsia="zh-CN"/>
              </w:rPr>
            </w:pPr>
            <w:r>
              <w:rPr>
                <w:color w:val="auto"/>
                <w:spacing w:val="18"/>
                <w:lang w:eastAsia="zh-CN"/>
              </w:rPr>
              <w:t>（十三）麻醉开始后</w:t>
            </w:r>
            <w:r>
              <w:rPr>
                <w:rFonts w:ascii="Times New Roman" w:hAnsi="Times New Roman" w:eastAsia="Times New Roman" w:cs="Times New Roman"/>
                <w:color w:val="auto"/>
                <w:spacing w:val="7"/>
                <w:lang w:eastAsia="zh-CN"/>
              </w:rPr>
              <w:t>24</w:t>
            </w:r>
            <w:r>
              <w:rPr>
                <w:color w:val="auto"/>
                <w:spacing w:val="7"/>
                <w:lang w:eastAsia="zh-CN"/>
              </w:rPr>
              <w:t>小时内患者死亡率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5"/>
              <w:rPr>
                <w:color w:val="auto"/>
              </w:rPr>
            </w:pPr>
            <w:r>
              <w:rPr>
                <w:color w:val="auto"/>
                <w:spacing w:val="3"/>
              </w:rPr>
              <w:t>万分比</w:t>
            </w:r>
          </w:p>
          <w:p>
            <w:pPr>
              <w:pStyle w:val="8"/>
              <w:spacing w:before="0" w:line="240" w:lineRule="exact"/>
              <w:ind w:left="32"/>
              <w:rPr>
                <w:rFonts w:ascii="MS UI Gothic" w:hAnsi="MS UI Gothic" w:eastAsia="MS UI Gothic" w:cs="MS UI Gothic"/>
                <w:color w:val="auto"/>
              </w:rPr>
            </w:pPr>
            <w:r>
              <w:rPr>
                <w:color w:val="auto"/>
                <w:spacing w:val="5"/>
              </w:rPr>
              <w:t>（</w:t>
            </w:r>
            <w:r>
              <w:rPr>
                <w:rFonts w:ascii="Times New Roman" w:hAnsi="Times New Roman" w:eastAsia="Times New Roman" w:cs="Times New Roman"/>
                <w:color w:val="auto"/>
                <w:spacing w:val="5"/>
              </w:rPr>
              <w:t>10000</w:t>
            </w:r>
            <w:r>
              <w:rPr>
                <w:rFonts w:ascii="MS UI Gothic" w:hAnsi="MS UI Gothic" w:eastAsia="MS UI Gothic" w:cs="MS UI Gothic"/>
                <w:color w:val="auto"/>
                <w:spacing w:val="5"/>
              </w:rPr>
              <w:t>‱</w:t>
            </w:r>
          </w:p>
          <w:p>
            <w:pPr>
              <w:pStyle w:val="8"/>
              <w:spacing w:line="240" w:lineRule="exact"/>
              <w:ind w:left="432"/>
              <w:rPr>
                <w:color w:val="auto"/>
              </w:rPr>
            </w:pPr>
            <w:r>
              <w:rPr>
                <w:color w:val="auto"/>
              </w:rPr>
              <w:t>)</w:t>
            </w:r>
          </w:p>
        </w:tc>
        <w:tc>
          <w:tcPr>
            <w:tcW w:w="2939" w:type="dxa"/>
          </w:tcPr>
          <w:p>
            <w:pPr>
              <w:pStyle w:val="8"/>
              <w:spacing w:before="0" w:line="240" w:lineRule="exact"/>
              <w:ind w:left="23" w:right="11" w:firstLine="91"/>
              <w:rPr>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单位时间内麻醉后</w:t>
            </w:r>
            <w:r>
              <w:rPr>
                <w:rFonts w:ascii="Times New Roman" w:hAnsi="Times New Roman" w:eastAsia="Times New Roman" w:cs="Times New Roman"/>
                <w:color w:val="auto"/>
                <w:spacing w:val="7"/>
                <w:lang w:eastAsia="zh-CN"/>
              </w:rPr>
              <w:t>24</w:t>
            </w:r>
            <w:r>
              <w:rPr>
                <w:color w:val="auto"/>
                <w:spacing w:val="7"/>
                <w:lang w:eastAsia="zh-CN"/>
              </w:rPr>
              <w:t>小时内死</w:t>
            </w:r>
            <w:r>
              <w:rPr>
                <w:color w:val="auto"/>
                <w:spacing w:val="8"/>
                <w:lang w:eastAsia="zh-CN"/>
              </w:rPr>
              <w:t>亡患者数</w:t>
            </w:r>
            <w:r>
              <w:rPr>
                <w:rFonts w:ascii="Times New Roman" w:hAnsi="Times New Roman" w:eastAsia="Times New Roman" w:cs="Times New Roman"/>
                <w:color w:val="auto"/>
                <w:spacing w:val="8"/>
                <w:lang w:eastAsia="zh-CN"/>
              </w:rPr>
              <w:t>/</w:t>
            </w:r>
            <w:r>
              <w:rPr>
                <w:color w:val="auto"/>
                <w:spacing w:val="8"/>
                <w:lang w:eastAsia="zh-CN"/>
              </w:rPr>
              <w:t>同期麻醉患者总数</w:t>
            </w:r>
          </w:p>
          <w:p>
            <w:pPr>
              <w:spacing w:line="240" w:lineRule="exact"/>
              <w:ind w:left="29"/>
              <w:rPr>
                <w:rFonts w:ascii="MS UI Gothic" w:hAnsi="MS UI Gothic" w:eastAsia="MS UI Gothic" w:cs="MS UI Gothic"/>
                <w:color w:val="auto"/>
                <w:sz w:val="19"/>
                <w:szCs w:val="19"/>
              </w:rPr>
            </w:pPr>
            <w:r>
              <w:rPr>
                <w:rFonts w:ascii="Times New Roman" w:hAnsi="Times New Roman" w:eastAsia="Times New Roman" w:cs="Times New Roman"/>
                <w:color w:val="auto"/>
                <w:spacing w:val="-1"/>
                <w:position w:val="1"/>
                <w:sz w:val="19"/>
                <w:szCs w:val="19"/>
              </w:rPr>
              <w:t>×10000</w:t>
            </w:r>
            <w:r>
              <w:rPr>
                <w:rFonts w:ascii="MS UI Gothic" w:hAnsi="MS UI Gothic" w:eastAsia="MS UI Gothic" w:cs="MS UI Gothic"/>
                <w:color w:val="auto"/>
                <w:spacing w:val="-1"/>
                <w:position w:val="1"/>
                <w:sz w:val="19"/>
                <w:szCs w:val="19"/>
              </w:rPr>
              <w:t>‱</w:t>
            </w:r>
          </w:p>
        </w:tc>
        <w:tc>
          <w:tcPr>
            <w:tcW w:w="3944" w:type="dxa"/>
          </w:tcPr>
          <w:p>
            <w:pPr>
              <w:pStyle w:val="8"/>
              <w:spacing w:before="0" w:line="240" w:lineRule="exact"/>
              <w:ind w:left="16" w:right="10" w:firstLine="10"/>
              <w:jc w:val="both"/>
              <w:rPr>
                <w:color w:val="auto"/>
                <w:lang w:eastAsia="zh-CN"/>
              </w:rPr>
            </w:pPr>
            <w:r>
              <w:rPr>
                <w:color w:val="auto"/>
                <w:spacing w:val="8"/>
                <w:lang w:eastAsia="zh-CN"/>
              </w:rPr>
              <w:t>单位时间内，麻醉开始后</w:t>
            </w:r>
            <w:r>
              <w:rPr>
                <w:rFonts w:ascii="Times New Roman" w:hAnsi="Times New Roman" w:eastAsia="Times New Roman" w:cs="Times New Roman"/>
                <w:color w:val="auto"/>
                <w:spacing w:val="8"/>
                <w:lang w:eastAsia="zh-CN"/>
              </w:rPr>
              <w:t>24</w:t>
            </w:r>
            <w:r>
              <w:rPr>
                <w:color w:val="auto"/>
                <w:spacing w:val="8"/>
                <w:lang w:eastAsia="zh-CN"/>
              </w:rPr>
              <w:t>小时内死亡患者</w:t>
            </w:r>
            <w:r>
              <w:rPr>
                <w:color w:val="auto"/>
                <w:spacing w:val="5"/>
                <w:lang w:eastAsia="zh-CN"/>
              </w:rPr>
              <w:t>数占同期麻醉患者总数的比例。患者死亡原因包括患者本身病情严重、手术、麻醉以及其他</w:t>
            </w:r>
            <w:r>
              <w:rPr>
                <w:color w:val="auto"/>
                <w:spacing w:val="7"/>
                <w:lang w:eastAsia="zh-CN"/>
              </w:rPr>
              <w:t>任何因素。</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spacing w:line="240" w:lineRule="exact"/>
        <w:rPr>
          <w:color w:val="auto"/>
          <w:sz w:val="14"/>
        </w:rPr>
      </w:pPr>
    </w:p>
    <w:p>
      <w:pPr>
        <w:spacing w:line="240" w:lineRule="exact"/>
        <w:rPr>
          <w:color w:val="auto"/>
          <w:sz w:val="14"/>
          <w:szCs w:val="14"/>
        </w:rPr>
        <w:sectPr>
          <w:footerReference r:id="rId29" w:type="default"/>
          <w:pgSz w:w="16839" w:h="11906"/>
          <w:pgMar w:top="1012" w:right="1262" w:bottom="1439" w:left="1511" w:header="0" w:footer="1277" w:gutter="0"/>
          <w:pgNumType w:fmt="numberInDash"/>
          <w:cols w:space="720" w:num="1"/>
        </w:sect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3" w:right="13" w:hanging="8"/>
              <w:rPr>
                <w:color w:val="auto"/>
                <w:lang w:eastAsia="zh-CN"/>
              </w:rPr>
            </w:pPr>
            <w:r>
              <w:rPr>
                <w:color w:val="auto"/>
                <w:spacing w:val="2"/>
                <w:lang w:eastAsia="zh-CN"/>
              </w:rPr>
              <w:t>（十四）麻醉期间严重</w:t>
            </w:r>
            <w:r>
              <w:rPr>
                <w:color w:val="auto"/>
                <w:spacing w:val="8"/>
                <w:lang w:eastAsia="zh-CN"/>
              </w:rPr>
              <w:t>过敏反应发生率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5"/>
              <w:rPr>
                <w:color w:val="auto"/>
              </w:rPr>
            </w:pPr>
            <w:r>
              <w:rPr>
                <w:color w:val="auto"/>
                <w:spacing w:val="3"/>
              </w:rPr>
              <w:t>万分比</w:t>
            </w:r>
          </w:p>
          <w:p>
            <w:pPr>
              <w:pStyle w:val="8"/>
              <w:spacing w:before="0" w:line="240" w:lineRule="exact"/>
              <w:ind w:left="32"/>
              <w:rPr>
                <w:rFonts w:ascii="MS UI Gothic" w:hAnsi="MS UI Gothic" w:eastAsia="MS UI Gothic" w:cs="MS UI Gothic"/>
                <w:color w:val="auto"/>
              </w:rPr>
            </w:pPr>
            <w:r>
              <w:rPr>
                <w:color w:val="auto"/>
                <w:spacing w:val="5"/>
              </w:rPr>
              <w:t>（</w:t>
            </w:r>
            <w:r>
              <w:rPr>
                <w:rFonts w:ascii="Times New Roman" w:hAnsi="Times New Roman" w:eastAsia="Times New Roman" w:cs="Times New Roman"/>
                <w:color w:val="auto"/>
                <w:spacing w:val="5"/>
              </w:rPr>
              <w:t>10000</w:t>
            </w:r>
            <w:r>
              <w:rPr>
                <w:rFonts w:ascii="MS UI Gothic" w:hAnsi="MS UI Gothic" w:eastAsia="MS UI Gothic" w:cs="MS UI Gothic"/>
                <w:color w:val="auto"/>
                <w:spacing w:val="5"/>
              </w:rPr>
              <w:t>‱</w:t>
            </w:r>
          </w:p>
          <w:p>
            <w:pPr>
              <w:pStyle w:val="8"/>
              <w:spacing w:before="0" w:line="240" w:lineRule="exact"/>
              <w:ind w:left="432"/>
              <w:rPr>
                <w:color w:val="auto"/>
              </w:rPr>
            </w:pPr>
            <w:r>
              <w:rPr>
                <w:color w:val="auto"/>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67" w:firstLine="89"/>
              <w:jc w:val="both"/>
              <w:rPr>
                <w:rFonts w:ascii="MS UI Gothic" w:hAnsi="MS UI Gothic" w:eastAsia="MS UI Gothic" w:cs="MS UI Gothic"/>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单位时间内麻醉期间发生严重</w:t>
            </w:r>
            <w:r>
              <w:rPr>
                <w:color w:val="auto"/>
                <w:spacing w:val="8"/>
                <w:lang w:eastAsia="zh-CN"/>
              </w:rPr>
              <w:t>过敏反应的例次数</w:t>
            </w:r>
            <w:r>
              <w:rPr>
                <w:rFonts w:ascii="Times New Roman" w:hAnsi="Times New Roman" w:eastAsia="Times New Roman" w:cs="Times New Roman"/>
                <w:color w:val="auto"/>
                <w:spacing w:val="8"/>
                <w:lang w:eastAsia="zh-CN"/>
              </w:rPr>
              <w:t>/</w:t>
            </w:r>
            <w:r>
              <w:rPr>
                <w:color w:val="auto"/>
                <w:spacing w:val="8"/>
                <w:lang w:eastAsia="zh-CN"/>
              </w:rPr>
              <w:t>同期麻醉科完</w:t>
            </w:r>
            <w:r>
              <w:rPr>
                <w:color w:val="auto"/>
                <w:spacing w:val="4"/>
                <w:lang w:eastAsia="zh-CN"/>
              </w:rPr>
              <w:t>成麻醉总例次数</w:t>
            </w:r>
            <w:r>
              <w:rPr>
                <w:rFonts w:ascii="Times New Roman" w:hAnsi="Times New Roman" w:eastAsia="Times New Roman" w:cs="Times New Roman"/>
                <w:color w:val="auto"/>
                <w:spacing w:val="4"/>
                <w:lang w:eastAsia="zh-CN"/>
              </w:rPr>
              <w:t>×10000</w:t>
            </w:r>
            <w:r>
              <w:rPr>
                <w:rFonts w:ascii="MS UI Gothic" w:hAnsi="MS UI Gothic" w:eastAsia="MS UI Gothic" w:cs="MS UI Gothic"/>
                <w:color w:val="auto"/>
                <w:spacing w:val="4"/>
                <w:lang w:eastAsia="zh-CN"/>
              </w:rPr>
              <w:t>‱</w:t>
            </w:r>
          </w:p>
        </w:tc>
        <w:tc>
          <w:tcPr>
            <w:tcW w:w="3944" w:type="dxa"/>
          </w:tcPr>
          <w:p>
            <w:pPr>
              <w:pStyle w:val="8"/>
              <w:spacing w:before="0" w:line="240" w:lineRule="exact"/>
              <w:ind w:left="18" w:firstLine="8"/>
              <w:jc w:val="both"/>
              <w:rPr>
                <w:color w:val="auto"/>
                <w:lang w:eastAsia="zh-CN"/>
              </w:rPr>
            </w:pPr>
            <w:r>
              <w:rPr>
                <w:color w:val="auto"/>
                <w:spacing w:val="3"/>
                <w:lang w:eastAsia="zh-CN"/>
              </w:rPr>
              <w:t>单位时间内，麻醉期间发生严重过敏反应的例</w:t>
            </w:r>
            <w:r>
              <w:rPr>
                <w:color w:val="auto"/>
                <w:spacing w:val="6"/>
                <w:lang w:eastAsia="zh-CN"/>
              </w:rPr>
              <w:t>次数占同期麻醉科完成麻醉总例次数的比例。</w:t>
            </w:r>
            <w:r>
              <w:rPr>
                <w:color w:val="auto"/>
                <w:spacing w:val="10"/>
                <w:lang w:eastAsia="zh-CN"/>
              </w:rPr>
              <w:t>说明：严重过敏反应是指发生循环衰竭和</w:t>
            </w:r>
            <w:r>
              <w:rPr>
                <w:rFonts w:ascii="Times New Roman" w:hAnsi="Times New Roman" w:eastAsia="Times New Roman" w:cs="Times New Roman"/>
                <w:color w:val="auto"/>
                <w:spacing w:val="10"/>
                <w:lang w:eastAsia="zh-CN"/>
              </w:rPr>
              <w:t>/</w:t>
            </w:r>
            <w:r>
              <w:rPr>
                <w:color w:val="auto"/>
                <w:spacing w:val="10"/>
                <w:lang w:eastAsia="zh-CN"/>
              </w:rPr>
              <w:t>或</w:t>
            </w:r>
            <w:r>
              <w:rPr>
                <w:color w:val="auto"/>
                <w:spacing w:val="3"/>
                <w:lang w:eastAsia="zh-CN"/>
              </w:rPr>
              <w:t>严重气道反应（痉挛、水肿</w:t>
            </w:r>
            <w:r>
              <w:rPr>
                <w:color w:val="auto"/>
                <w:spacing w:val="13"/>
                <w:lang w:eastAsia="zh-CN"/>
              </w:rPr>
              <w:t>），</w:t>
            </w:r>
            <w:r>
              <w:rPr>
                <w:color w:val="auto"/>
                <w:spacing w:val="3"/>
                <w:lang w:eastAsia="zh-CN"/>
              </w:rPr>
              <w:t>明显皮疹，需要使用肾上腺素治疗的过敏反应。麻醉期间严</w:t>
            </w:r>
            <w:r>
              <w:rPr>
                <w:color w:val="auto"/>
                <w:spacing w:val="14"/>
                <w:lang w:eastAsia="zh-CN"/>
              </w:rPr>
              <w:t>重过敏反应是指麻醉期间各种原因导致的需</w:t>
            </w:r>
            <w:r>
              <w:rPr>
                <w:color w:val="auto"/>
                <w:spacing w:val="7"/>
                <w:lang w:eastAsia="zh-CN"/>
              </w:rPr>
              <w:t>要立即使用肾上腺素抢救的过敏反应。</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4" w:right="13" w:hanging="9"/>
              <w:rPr>
                <w:color w:val="auto"/>
                <w:lang w:eastAsia="zh-CN"/>
              </w:rPr>
            </w:pPr>
            <w:r>
              <w:rPr>
                <w:color w:val="auto"/>
                <w:spacing w:val="2"/>
                <w:lang w:eastAsia="zh-CN"/>
              </w:rPr>
              <w:t>（十五）术中心脏骤停</w:t>
            </w:r>
            <w:r>
              <w:rPr>
                <w:color w:val="auto"/>
                <w:lang w:eastAsia="zh-CN"/>
              </w:rPr>
              <w:t>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5"/>
              <w:rPr>
                <w:color w:val="auto"/>
              </w:rPr>
            </w:pPr>
            <w:r>
              <w:rPr>
                <w:color w:val="auto"/>
                <w:spacing w:val="3"/>
              </w:rPr>
              <w:t>万分比</w:t>
            </w:r>
          </w:p>
          <w:p>
            <w:pPr>
              <w:pStyle w:val="8"/>
              <w:spacing w:before="0" w:line="240" w:lineRule="exact"/>
              <w:ind w:left="32"/>
              <w:rPr>
                <w:rFonts w:ascii="MS UI Gothic" w:hAnsi="MS UI Gothic" w:eastAsia="MS UI Gothic" w:cs="MS UI Gothic"/>
                <w:color w:val="auto"/>
              </w:rPr>
            </w:pPr>
            <w:r>
              <w:rPr>
                <w:color w:val="auto"/>
                <w:spacing w:val="5"/>
              </w:rPr>
              <w:t>（</w:t>
            </w:r>
            <w:r>
              <w:rPr>
                <w:rFonts w:ascii="Times New Roman" w:hAnsi="Times New Roman" w:eastAsia="Times New Roman" w:cs="Times New Roman"/>
                <w:color w:val="auto"/>
                <w:spacing w:val="5"/>
              </w:rPr>
              <w:t>10000</w:t>
            </w:r>
            <w:r>
              <w:rPr>
                <w:rFonts w:ascii="MS UI Gothic" w:hAnsi="MS UI Gothic" w:eastAsia="MS UI Gothic" w:cs="MS UI Gothic"/>
                <w:color w:val="auto"/>
                <w:spacing w:val="5"/>
              </w:rPr>
              <w:t>‱</w:t>
            </w:r>
          </w:p>
          <w:p>
            <w:pPr>
              <w:pStyle w:val="8"/>
              <w:spacing w:before="0" w:line="240" w:lineRule="exact"/>
              <w:ind w:left="432"/>
              <w:rPr>
                <w:color w:val="auto"/>
              </w:rPr>
            </w:pPr>
            <w:r>
              <w:rPr>
                <w:color w:val="auto"/>
              </w:rPr>
              <w:t>)</w:t>
            </w:r>
          </w:p>
        </w:tc>
        <w:tc>
          <w:tcPr>
            <w:tcW w:w="2939" w:type="dxa"/>
          </w:tcPr>
          <w:p>
            <w:pPr>
              <w:pStyle w:val="8"/>
              <w:spacing w:before="0" w:line="240" w:lineRule="exact"/>
              <w:ind w:left="26" w:right="211" w:hanging="9"/>
              <w:rPr>
                <w:rFonts w:ascii="MS UI Gothic" w:hAnsi="MS UI Gothic" w:eastAsia="MS UI Gothic" w:cs="MS UI Gothic"/>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单位时间内术中心脏骤停患者</w:t>
            </w:r>
            <w:r>
              <w:rPr>
                <w:color w:val="auto"/>
                <w:spacing w:val="5"/>
                <w:lang w:eastAsia="zh-CN"/>
              </w:rPr>
              <w:t>数</w:t>
            </w:r>
            <w:r>
              <w:rPr>
                <w:rFonts w:ascii="Times New Roman" w:hAnsi="Times New Roman" w:eastAsia="Times New Roman" w:cs="Times New Roman"/>
                <w:color w:val="auto"/>
                <w:spacing w:val="5"/>
                <w:lang w:eastAsia="zh-CN"/>
              </w:rPr>
              <w:t>/</w:t>
            </w:r>
            <w:r>
              <w:rPr>
                <w:color w:val="auto"/>
                <w:spacing w:val="5"/>
                <w:lang w:eastAsia="zh-CN"/>
              </w:rPr>
              <w:t>同期麻醉患者总数</w:t>
            </w:r>
            <w:r>
              <w:rPr>
                <w:rFonts w:ascii="Times New Roman" w:hAnsi="Times New Roman" w:eastAsia="Times New Roman" w:cs="Times New Roman"/>
                <w:color w:val="auto"/>
                <w:spacing w:val="5"/>
                <w:lang w:eastAsia="zh-CN"/>
              </w:rPr>
              <w:t>×10000</w:t>
            </w:r>
            <w:r>
              <w:rPr>
                <w:rFonts w:ascii="MS UI Gothic" w:hAnsi="MS UI Gothic" w:eastAsia="MS UI Gothic" w:cs="MS UI Gothic"/>
                <w:color w:val="auto"/>
                <w:spacing w:val="5"/>
                <w:lang w:eastAsia="zh-CN"/>
              </w:rPr>
              <w:t>‱</w:t>
            </w:r>
          </w:p>
        </w:tc>
        <w:tc>
          <w:tcPr>
            <w:tcW w:w="3944" w:type="dxa"/>
          </w:tcPr>
          <w:p>
            <w:pPr>
              <w:pStyle w:val="8"/>
              <w:spacing w:before="0" w:line="240" w:lineRule="exact"/>
              <w:ind w:left="33" w:right="12" w:hanging="6"/>
              <w:rPr>
                <w:color w:val="auto"/>
                <w:lang w:eastAsia="zh-CN"/>
              </w:rPr>
            </w:pPr>
            <w:r>
              <w:rPr>
                <w:color w:val="auto"/>
                <w:spacing w:val="4"/>
                <w:lang w:eastAsia="zh-CN"/>
              </w:rPr>
              <w:t>单位时间内，术中心脏骤停患者数占同期麻醉</w:t>
            </w:r>
            <w:r>
              <w:rPr>
                <w:color w:val="auto"/>
                <w:spacing w:val="7"/>
                <w:lang w:eastAsia="zh-CN"/>
              </w:rPr>
              <w:t>患者总数的比例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6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9" w:right="13" w:hanging="4"/>
              <w:rPr>
                <w:color w:val="auto"/>
                <w:lang w:eastAsia="zh-CN"/>
              </w:rPr>
            </w:pPr>
            <w:r>
              <w:rPr>
                <w:color w:val="auto"/>
                <w:spacing w:val="2"/>
                <w:lang w:eastAsia="zh-CN"/>
              </w:rPr>
              <w:t>（十六）麻醉科术后镇</w:t>
            </w:r>
            <w:r>
              <w:rPr>
                <w:color w:val="auto"/>
                <w:spacing w:val="4"/>
                <w:lang w:eastAsia="zh-CN"/>
              </w:rPr>
              <w:t>痛率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4" w:right="153"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接受麻醉科术后镇痛患者数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5"/>
                <w:lang w:eastAsia="zh-CN"/>
              </w:rPr>
              <w:t>期住院手术麻醉总数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16" w:right="10" w:firstLine="5"/>
              <w:jc w:val="both"/>
              <w:rPr>
                <w:color w:val="auto"/>
                <w:lang w:eastAsia="zh-CN"/>
              </w:rPr>
            </w:pPr>
            <w:r>
              <w:rPr>
                <w:color w:val="auto"/>
                <w:spacing w:val="15"/>
                <w:lang w:eastAsia="zh-CN"/>
              </w:rPr>
              <w:t>接受麻醉科术后镇痛患者数占同期住院手术</w:t>
            </w:r>
            <w:r>
              <w:rPr>
                <w:color w:val="auto"/>
                <w:spacing w:val="5"/>
                <w:lang w:eastAsia="zh-CN"/>
              </w:rPr>
              <w:t>麻醉总数的比例。麻醉科术后镇痛是指由麻醉</w:t>
            </w:r>
            <w:r>
              <w:rPr>
                <w:color w:val="auto"/>
                <w:spacing w:val="15"/>
                <w:lang w:eastAsia="zh-CN"/>
              </w:rPr>
              <w:t>科为患者提供术后针对因手术引起的急性疼</w:t>
            </w:r>
            <w:r>
              <w:rPr>
                <w:color w:val="auto"/>
                <w:spacing w:val="13"/>
                <w:lang w:eastAsia="zh-CN"/>
              </w:rPr>
              <w:t>痛诊疗服务，包括各种类型</w:t>
            </w:r>
            <w:r>
              <w:rPr>
                <w:rFonts w:ascii="Times New Roman" w:hAnsi="Times New Roman" w:eastAsia="Times New Roman" w:cs="Times New Roman"/>
                <w:color w:val="auto"/>
                <w:lang w:eastAsia="zh-CN"/>
              </w:rPr>
              <w:t>PCA</w:t>
            </w:r>
            <w:r>
              <w:rPr>
                <w:color w:val="auto"/>
                <w:spacing w:val="13"/>
                <w:lang w:eastAsia="zh-CN"/>
              </w:rPr>
              <w:t>、椎管内阿</w:t>
            </w:r>
            <w:r>
              <w:rPr>
                <w:color w:val="auto"/>
                <w:spacing w:val="9"/>
                <w:lang w:eastAsia="zh-CN"/>
              </w:rPr>
              <w:t>片类药物、术后连续或重复阻滞。</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269" w:type="dxa"/>
            <w:vMerge w:val="continue"/>
            <w:tcBorders>
              <w:top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 w:right="13" w:hanging="5"/>
              <w:rPr>
                <w:color w:val="auto"/>
                <w:lang w:eastAsia="zh-CN"/>
              </w:rPr>
            </w:pPr>
            <w:r>
              <w:rPr>
                <w:color w:val="auto"/>
                <w:spacing w:val="2"/>
                <w:lang w:eastAsia="zh-CN"/>
              </w:rPr>
              <w:t>（十七）麻醉后新发昏</w:t>
            </w:r>
            <w:r>
              <w:rPr>
                <w:color w:val="auto"/>
                <w:spacing w:val="7"/>
                <w:lang w:eastAsia="zh-CN"/>
              </w:rPr>
              <w:t>迷发生率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5"/>
              <w:rPr>
                <w:color w:val="auto"/>
              </w:rPr>
            </w:pPr>
            <w:r>
              <w:rPr>
                <w:color w:val="auto"/>
                <w:spacing w:val="3"/>
              </w:rPr>
              <w:t>万分比</w:t>
            </w:r>
          </w:p>
          <w:p>
            <w:pPr>
              <w:pStyle w:val="8"/>
              <w:spacing w:before="0" w:line="240" w:lineRule="exact"/>
              <w:ind w:left="32"/>
              <w:rPr>
                <w:rFonts w:ascii="MS UI Gothic" w:hAnsi="MS UI Gothic" w:eastAsia="MS UI Gothic" w:cs="MS UI Gothic"/>
                <w:color w:val="auto"/>
              </w:rPr>
            </w:pPr>
            <w:r>
              <w:rPr>
                <w:color w:val="auto"/>
                <w:spacing w:val="5"/>
              </w:rPr>
              <w:t>（</w:t>
            </w:r>
            <w:r>
              <w:rPr>
                <w:rFonts w:ascii="Times New Roman" w:hAnsi="Times New Roman" w:eastAsia="Times New Roman" w:cs="Times New Roman"/>
                <w:color w:val="auto"/>
                <w:spacing w:val="5"/>
              </w:rPr>
              <w:t>10000</w:t>
            </w:r>
            <w:r>
              <w:rPr>
                <w:rFonts w:ascii="MS UI Gothic" w:hAnsi="MS UI Gothic" w:eastAsia="MS UI Gothic" w:cs="MS UI Gothic"/>
                <w:color w:val="auto"/>
                <w:spacing w:val="5"/>
              </w:rPr>
              <w:t>‱</w:t>
            </w:r>
          </w:p>
          <w:p>
            <w:pPr>
              <w:pStyle w:val="8"/>
              <w:spacing w:line="240" w:lineRule="exact"/>
              <w:ind w:left="432"/>
              <w:rPr>
                <w:color w:val="auto"/>
              </w:rPr>
            </w:pPr>
            <w:r>
              <w:rPr>
                <w:color w:val="auto"/>
              </w:rPr>
              <w:t>)</w:t>
            </w:r>
          </w:p>
        </w:tc>
        <w:tc>
          <w:tcPr>
            <w:tcW w:w="2939" w:type="dxa"/>
          </w:tcPr>
          <w:p>
            <w:pPr>
              <w:spacing w:line="240" w:lineRule="exact"/>
              <w:rPr>
                <w:color w:val="auto"/>
                <w:lang w:eastAsia="zh-CN"/>
              </w:rPr>
            </w:pPr>
          </w:p>
          <w:p>
            <w:pPr>
              <w:pStyle w:val="8"/>
              <w:spacing w:before="0" w:line="240" w:lineRule="exact"/>
              <w:ind w:left="23" w:right="67" w:firstLine="91"/>
              <w:jc w:val="both"/>
              <w:rPr>
                <w:rFonts w:ascii="MS UI Gothic" w:hAnsi="MS UI Gothic" w:eastAsia="MS UI Gothic" w:cs="MS UI Gothic"/>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单位时间内全身麻醉后新发昏</w:t>
            </w:r>
            <w:r>
              <w:rPr>
                <w:color w:val="auto"/>
                <w:spacing w:val="8"/>
                <w:lang w:eastAsia="zh-CN"/>
              </w:rPr>
              <w:t>迷发生例次数</w:t>
            </w:r>
            <w:r>
              <w:rPr>
                <w:rFonts w:ascii="Times New Roman" w:hAnsi="Times New Roman" w:eastAsia="Times New Roman" w:cs="Times New Roman"/>
                <w:color w:val="auto"/>
                <w:spacing w:val="8"/>
                <w:lang w:eastAsia="zh-CN"/>
              </w:rPr>
              <w:t>/</w:t>
            </w:r>
            <w:r>
              <w:rPr>
                <w:color w:val="auto"/>
                <w:spacing w:val="8"/>
                <w:lang w:eastAsia="zh-CN"/>
              </w:rPr>
              <w:t>同期非颅脑手术全</w:t>
            </w:r>
            <w:r>
              <w:rPr>
                <w:color w:val="auto"/>
                <w:spacing w:val="5"/>
                <w:lang w:eastAsia="zh-CN"/>
              </w:rPr>
              <w:t>身麻醉总例次数</w:t>
            </w:r>
            <w:r>
              <w:rPr>
                <w:rFonts w:ascii="Times New Roman" w:hAnsi="Times New Roman" w:eastAsia="Times New Roman" w:cs="Times New Roman"/>
                <w:color w:val="auto"/>
                <w:spacing w:val="5"/>
                <w:lang w:eastAsia="zh-CN"/>
              </w:rPr>
              <w:t>×10000</w:t>
            </w:r>
            <w:r>
              <w:rPr>
                <w:rFonts w:ascii="MS UI Gothic" w:hAnsi="MS UI Gothic" w:eastAsia="MS UI Gothic" w:cs="MS UI Gothic"/>
                <w:color w:val="auto"/>
                <w:spacing w:val="5"/>
                <w:lang w:eastAsia="zh-CN"/>
              </w:rPr>
              <w:t>‱</w:t>
            </w:r>
          </w:p>
        </w:tc>
        <w:tc>
          <w:tcPr>
            <w:tcW w:w="3944" w:type="dxa"/>
          </w:tcPr>
          <w:p>
            <w:pPr>
              <w:pStyle w:val="8"/>
              <w:spacing w:before="0" w:line="240" w:lineRule="exact"/>
              <w:ind w:left="16" w:firstLine="10"/>
              <w:jc w:val="both"/>
              <w:rPr>
                <w:color w:val="auto"/>
              </w:rPr>
            </w:pPr>
            <w:r>
              <w:rPr>
                <w:color w:val="auto"/>
                <w:spacing w:val="3"/>
                <w:lang w:eastAsia="zh-CN"/>
              </w:rPr>
              <w:t>单位时间内，全身麻醉后新发昏迷发生例次数</w:t>
            </w:r>
            <w:r>
              <w:rPr>
                <w:color w:val="auto"/>
                <w:spacing w:val="6"/>
                <w:lang w:eastAsia="zh-CN"/>
              </w:rPr>
              <w:t>占同期非颅脑手术全身麻醉总例次数的比例。</w:t>
            </w:r>
            <w:r>
              <w:rPr>
                <w:color w:val="auto"/>
                <w:spacing w:val="4"/>
                <w:lang w:eastAsia="zh-CN"/>
              </w:rPr>
              <w:t>说明：全身麻醉后新发昏迷是指麻醉前清醒患</w:t>
            </w:r>
            <w:r>
              <w:rPr>
                <w:color w:val="auto"/>
                <w:spacing w:val="6"/>
                <w:lang w:eastAsia="zh-CN"/>
              </w:rPr>
              <w:t>者（格拉斯哥昏迷评分为</w:t>
            </w:r>
            <w:r>
              <w:rPr>
                <w:rFonts w:ascii="Times New Roman" w:hAnsi="Times New Roman" w:eastAsia="Times New Roman" w:cs="Times New Roman"/>
                <w:color w:val="auto"/>
                <w:spacing w:val="6"/>
                <w:lang w:eastAsia="zh-CN"/>
              </w:rPr>
              <w:t>15</w:t>
            </w:r>
            <w:r>
              <w:rPr>
                <w:color w:val="auto"/>
                <w:spacing w:val="6"/>
                <w:lang w:eastAsia="zh-CN"/>
              </w:rPr>
              <w:t>分</w:t>
            </w:r>
            <w:r>
              <w:rPr>
                <w:color w:val="auto"/>
                <w:spacing w:val="17"/>
                <w:lang w:eastAsia="zh-CN"/>
              </w:rPr>
              <w:t>），</w:t>
            </w:r>
            <w:r>
              <w:rPr>
                <w:color w:val="auto"/>
                <w:spacing w:val="6"/>
                <w:lang w:eastAsia="zh-CN"/>
              </w:rPr>
              <w:t>接受全身</w:t>
            </w:r>
            <w:r>
              <w:rPr>
                <w:color w:val="auto"/>
                <w:spacing w:val="4"/>
                <w:lang w:eastAsia="zh-CN"/>
              </w:rPr>
              <w:t>麻醉下非颅脑手术后没有苏醒，持续昏迷（格</w:t>
            </w:r>
            <w:r>
              <w:rPr>
                <w:color w:val="auto"/>
                <w:spacing w:val="5"/>
                <w:lang w:eastAsia="zh-CN"/>
              </w:rPr>
              <w:t>拉斯哥昏迷评分</w:t>
            </w:r>
            <w:r>
              <w:rPr>
                <w:rFonts w:ascii="Times New Roman" w:hAnsi="Times New Roman" w:eastAsia="Times New Roman" w:cs="Times New Roman"/>
                <w:color w:val="auto"/>
                <w:spacing w:val="5"/>
                <w:lang w:eastAsia="zh-CN"/>
              </w:rPr>
              <w:t>≤8</w:t>
            </w:r>
            <w:r>
              <w:rPr>
                <w:color w:val="auto"/>
                <w:spacing w:val="5"/>
                <w:lang w:eastAsia="zh-CN"/>
              </w:rPr>
              <w:t>分）超过</w:t>
            </w:r>
            <w:r>
              <w:rPr>
                <w:rFonts w:ascii="Times New Roman" w:hAnsi="Times New Roman" w:eastAsia="Times New Roman" w:cs="Times New Roman"/>
                <w:color w:val="auto"/>
                <w:spacing w:val="5"/>
                <w:lang w:eastAsia="zh-CN"/>
              </w:rPr>
              <w:t>24</w:t>
            </w:r>
            <w:r>
              <w:rPr>
                <w:color w:val="auto"/>
                <w:spacing w:val="5"/>
                <w:lang w:eastAsia="zh-CN"/>
              </w:rPr>
              <w:t>小时。</w:t>
            </w:r>
            <w:r>
              <w:rPr>
                <w:color w:val="auto"/>
                <w:spacing w:val="5"/>
              </w:rPr>
              <w:t>除</w:t>
            </w:r>
            <w:r>
              <w:rPr>
                <w:color w:val="auto"/>
                <w:spacing w:val="4"/>
              </w:rPr>
              <w:t>外因</w:t>
            </w:r>
            <w:r>
              <w:rPr>
                <w:color w:val="auto"/>
                <w:spacing w:val="7"/>
              </w:rPr>
              <w:t>医疗目的给予镇静催眠者。</w:t>
            </w:r>
          </w:p>
        </w:tc>
        <w:tc>
          <w:tcPr>
            <w:tcW w:w="1177" w:type="dxa"/>
          </w:tcPr>
          <w:p>
            <w:pPr>
              <w:spacing w:line="240" w:lineRule="exact"/>
              <w:rPr>
                <w:color w:val="auto"/>
              </w:rPr>
            </w:pPr>
          </w:p>
          <w:p>
            <w:pPr>
              <w:spacing w:line="240" w:lineRule="exact"/>
              <w:rPr>
                <w:color w:val="auto"/>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restart"/>
            <w:tcBorders>
              <w:bottom w:val="nil"/>
            </w:tcBorders>
          </w:tcPr>
          <w:p>
            <w:pPr>
              <w:pStyle w:val="8"/>
              <w:spacing w:before="0" w:line="240" w:lineRule="exact"/>
              <w:ind w:left="25" w:right="15" w:firstLine="8"/>
              <w:jc w:val="both"/>
              <w:rPr>
                <w:color w:val="auto"/>
                <w:lang w:eastAsia="zh-CN"/>
              </w:rPr>
            </w:pPr>
            <w:r>
              <w:rPr>
                <w:color w:val="auto"/>
                <w:spacing w:val="12"/>
                <w:lang w:eastAsia="zh-CN"/>
              </w:rPr>
              <w:t>二、临床检验</w:t>
            </w:r>
            <w:r>
              <w:rPr>
                <w:color w:val="auto"/>
                <w:spacing w:val="13"/>
                <w:lang w:eastAsia="zh-CN"/>
              </w:rPr>
              <w:t>专业医疗质量</w:t>
            </w:r>
            <w:r>
              <w:rPr>
                <w:color w:val="auto"/>
                <w:spacing w:val="7"/>
                <w:lang w:eastAsia="zh-CN"/>
              </w:rPr>
              <w:t>控制指标</w:t>
            </w:r>
          </w:p>
        </w:tc>
        <w:tc>
          <w:tcPr>
            <w:tcW w:w="1956" w:type="dxa"/>
          </w:tcPr>
          <w:p>
            <w:pPr>
              <w:pStyle w:val="8"/>
              <w:spacing w:before="0" w:line="240" w:lineRule="exact"/>
              <w:ind w:left="15"/>
              <w:rPr>
                <w:color w:val="auto"/>
                <w:lang w:eastAsia="zh-CN"/>
              </w:rPr>
            </w:pPr>
            <w:r>
              <w:rPr>
                <w:color w:val="auto"/>
                <w:spacing w:val="-3"/>
                <w:lang w:eastAsia="zh-CN"/>
              </w:rPr>
              <w:t>（一）标本类型错误率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9" w:right="155" w:hanging="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类型不符合要求的标本数</w:t>
            </w:r>
            <w:r>
              <w:rPr>
                <w:rFonts w:ascii="Times New Roman" w:hAnsi="Times New Roman" w:eastAsia="Times New Roman" w:cs="Times New Roman"/>
                <w:color w:val="auto"/>
                <w:spacing w:val="8"/>
                <w:lang w:eastAsia="zh-CN"/>
              </w:rPr>
              <w:t>/</w:t>
            </w:r>
            <w:r>
              <w:rPr>
                <w:color w:val="auto"/>
                <w:spacing w:val="8"/>
                <w:lang w:eastAsia="zh-CN"/>
              </w:rPr>
              <w:t>同期</w:t>
            </w:r>
            <w:r>
              <w:rPr>
                <w:color w:val="auto"/>
                <w:spacing w:val="4"/>
                <w:lang w:eastAsia="zh-CN"/>
              </w:rPr>
              <w:t>标本总数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51" w:right="10" w:hanging="19"/>
              <w:rPr>
                <w:color w:val="auto"/>
                <w:lang w:eastAsia="zh-CN"/>
              </w:rPr>
            </w:pPr>
            <w:r>
              <w:rPr>
                <w:color w:val="auto"/>
                <w:spacing w:val="15"/>
                <w:lang w:eastAsia="zh-CN"/>
              </w:rPr>
              <w:t>类型不符合要求的标本数占同期标本总数的</w:t>
            </w:r>
            <w:r>
              <w:rPr>
                <w:color w:val="auto"/>
                <w:spacing w:val="-7"/>
                <w:lang w:eastAsia="zh-CN"/>
              </w:rPr>
              <w:t>比例。</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5"/>
              <w:rPr>
                <w:color w:val="auto"/>
                <w:lang w:eastAsia="zh-CN"/>
              </w:rPr>
            </w:pPr>
            <w:r>
              <w:rPr>
                <w:color w:val="auto"/>
                <w:spacing w:val="-3"/>
                <w:lang w:eastAsia="zh-CN"/>
              </w:rPr>
              <w:t>（二）标本容器错误率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41" w:right="152" w:hanging="2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采集容器不符合要求的标本数</w:t>
            </w:r>
            <w:r>
              <w:rPr>
                <w:rFonts w:ascii="Times New Roman" w:hAnsi="Times New Roman" w:eastAsia="Times New Roman" w:cs="Times New Roman"/>
                <w:color w:val="auto"/>
                <w:spacing w:val="8"/>
                <w:lang w:eastAsia="zh-CN"/>
              </w:rPr>
              <w:t>/</w:t>
            </w:r>
            <w:r>
              <w:rPr>
                <w:color w:val="auto"/>
                <w:spacing w:val="3"/>
                <w:lang w:eastAsia="zh-CN"/>
              </w:rPr>
              <w:t>同期标本总数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27" w:right="10" w:hanging="5"/>
              <w:rPr>
                <w:color w:val="auto"/>
                <w:lang w:eastAsia="zh-CN"/>
              </w:rPr>
            </w:pPr>
            <w:r>
              <w:rPr>
                <w:color w:val="auto"/>
                <w:spacing w:val="15"/>
                <w:lang w:eastAsia="zh-CN"/>
              </w:rPr>
              <w:t>采集容器不符合要求的标本数占同期标本总</w:t>
            </w:r>
            <w:r>
              <w:rPr>
                <w:color w:val="auto"/>
                <w:spacing w:val="5"/>
                <w:lang w:eastAsia="zh-CN"/>
              </w:rPr>
              <w:t>数的比例。</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1269" w:type="dxa"/>
            <w:vMerge w:val="continue"/>
            <w:tcBorders>
              <w:top w:val="nil"/>
            </w:tcBorders>
          </w:tcPr>
          <w:p>
            <w:pPr>
              <w:spacing w:line="240" w:lineRule="exact"/>
              <w:rPr>
                <w:color w:val="auto"/>
              </w:rPr>
            </w:pPr>
          </w:p>
        </w:tc>
        <w:tc>
          <w:tcPr>
            <w:tcW w:w="1956" w:type="dxa"/>
          </w:tcPr>
          <w:p>
            <w:pPr>
              <w:pStyle w:val="8"/>
              <w:spacing w:before="0" w:line="240" w:lineRule="exact"/>
              <w:ind w:left="24" w:right="13" w:hanging="9"/>
              <w:rPr>
                <w:color w:val="auto"/>
                <w:lang w:eastAsia="zh-CN"/>
              </w:rPr>
            </w:pPr>
            <w:r>
              <w:rPr>
                <w:color w:val="auto"/>
                <w:spacing w:val="2"/>
                <w:lang w:eastAsia="zh-CN"/>
              </w:rPr>
              <w:t>（三）标本采集量错误</w:t>
            </w:r>
            <w:r>
              <w:rPr>
                <w:color w:val="auto"/>
                <w:lang w:eastAsia="zh-CN"/>
              </w:rPr>
              <w:t>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153"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采集量不符合要求的标本数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4"/>
                <w:lang w:eastAsia="zh-CN"/>
              </w:rPr>
              <w:t>期标本总数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39" w:right="10" w:hanging="17"/>
              <w:rPr>
                <w:color w:val="auto"/>
                <w:lang w:eastAsia="zh-CN"/>
              </w:rPr>
            </w:pPr>
            <w:r>
              <w:rPr>
                <w:color w:val="auto"/>
                <w:spacing w:val="15"/>
                <w:lang w:eastAsia="zh-CN"/>
              </w:rPr>
              <w:t>采集量不符合要求的标本数占同期标本总数</w:t>
            </w:r>
            <w:r>
              <w:rPr>
                <w:color w:val="auto"/>
                <w:spacing w:val="1"/>
                <w:lang w:eastAsia="zh-CN"/>
              </w:rPr>
              <w:t>的比例。</w:t>
            </w:r>
          </w:p>
        </w:tc>
        <w:tc>
          <w:tcPr>
            <w:tcW w:w="1177" w:type="dxa"/>
          </w:tcPr>
          <w:p>
            <w:pPr>
              <w:pStyle w:val="8"/>
              <w:spacing w:before="0" w:line="240" w:lineRule="exact"/>
              <w:ind w:left="190"/>
              <w:rPr>
                <w:color w:val="auto"/>
              </w:rPr>
            </w:pPr>
            <w:r>
              <w:rPr>
                <w:color w:val="auto"/>
                <w:spacing w:val="8"/>
              </w:rPr>
              <w:t>逐步降低</w:t>
            </w:r>
          </w:p>
        </w:tc>
      </w:tr>
    </w:tbl>
    <w:p>
      <w:pPr>
        <w:spacing w:line="240" w:lineRule="exact"/>
        <w:rPr>
          <w:color w:val="auto"/>
        </w:rPr>
      </w:pPr>
    </w:p>
    <w:p>
      <w:pPr>
        <w:spacing w:line="240" w:lineRule="exact"/>
        <w:rPr>
          <w:color w:val="auto"/>
        </w:rPr>
        <w:sectPr>
          <w:footerReference r:id="rId30"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restart"/>
            <w:tcBorders>
              <w:bottom w:val="nil"/>
            </w:tcBorders>
          </w:tcPr>
          <w:p>
            <w:pPr>
              <w:spacing w:line="240" w:lineRule="exact"/>
              <w:rPr>
                <w:color w:val="auto"/>
              </w:rPr>
            </w:pPr>
          </w:p>
        </w:tc>
        <w:tc>
          <w:tcPr>
            <w:tcW w:w="1956" w:type="dxa"/>
          </w:tcPr>
          <w:p>
            <w:pPr>
              <w:pStyle w:val="8"/>
              <w:spacing w:before="0" w:line="240" w:lineRule="exact"/>
              <w:ind w:left="15"/>
              <w:rPr>
                <w:color w:val="auto"/>
              </w:rPr>
            </w:pPr>
            <w:r>
              <w:rPr>
                <w:color w:val="auto"/>
                <w:spacing w:val="9"/>
              </w:rPr>
              <w:t>（四）血培养污染率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2" w:right="153"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污染的血培养标本数</w:t>
            </w:r>
            <w:r>
              <w:rPr>
                <w:rFonts w:ascii="Times New Roman" w:hAnsi="Times New Roman" w:eastAsia="Times New Roman" w:cs="Times New Roman"/>
                <w:color w:val="auto"/>
                <w:spacing w:val="8"/>
                <w:lang w:eastAsia="zh-CN"/>
              </w:rPr>
              <w:t>/</w:t>
            </w:r>
            <w:r>
              <w:rPr>
                <w:color w:val="auto"/>
                <w:spacing w:val="8"/>
                <w:lang w:eastAsia="zh-CN"/>
              </w:rPr>
              <w:t>同期血培</w:t>
            </w:r>
            <w:r>
              <w:rPr>
                <w:color w:val="auto"/>
                <w:spacing w:val="4"/>
                <w:lang w:eastAsia="zh-CN"/>
              </w:rPr>
              <w:t>养标本总数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38" w:right="10" w:hanging="8"/>
              <w:rPr>
                <w:color w:val="auto"/>
                <w:lang w:eastAsia="zh-CN"/>
              </w:rPr>
            </w:pPr>
            <w:r>
              <w:rPr>
                <w:color w:val="auto"/>
                <w:spacing w:val="15"/>
                <w:lang w:eastAsia="zh-CN"/>
              </w:rPr>
              <w:t>污染的血培养标本数占同期血培养标本总数</w:t>
            </w:r>
            <w:r>
              <w:rPr>
                <w:color w:val="auto"/>
                <w:spacing w:val="1"/>
                <w:lang w:eastAsia="zh-CN"/>
              </w:rPr>
              <w:t>的比例。</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5"/>
              <w:rPr>
                <w:color w:val="auto"/>
                <w:lang w:eastAsia="zh-CN"/>
              </w:rPr>
            </w:pPr>
            <w:r>
              <w:rPr>
                <w:color w:val="auto"/>
                <w:spacing w:val="2"/>
                <w:lang w:eastAsia="zh-CN"/>
              </w:rPr>
              <w:t>（五）抗凝标本凝集率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153"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凝集的标本数</w:t>
            </w:r>
            <w:r>
              <w:rPr>
                <w:rFonts w:ascii="Times New Roman" w:hAnsi="Times New Roman" w:eastAsia="Times New Roman" w:cs="Times New Roman"/>
                <w:color w:val="auto"/>
                <w:spacing w:val="8"/>
                <w:lang w:eastAsia="zh-CN"/>
              </w:rPr>
              <w:t>/</w:t>
            </w:r>
            <w:r>
              <w:rPr>
                <w:color w:val="auto"/>
                <w:spacing w:val="8"/>
                <w:lang w:eastAsia="zh-CN"/>
              </w:rPr>
              <w:t>同期需抗凝的标</w:t>
            </w:r>
            <w:r>
              <w:rPr>
                <w:color w:val="auto"/>
                <w:spacing w:val="3"/>
                <w:lang w:eastAsia="zh-CN"/>
              </w:rPr>
              <w:t>本总数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19" w:right="10" w:firstLine="5"/>
              <w:rPr>
                <w:color w:val="auto"/>
                <w:lang w:eastAsia="zh-CN"/>
              </w:rPr>
            </w:pPr>
            <w:r>
              <w:rPr>
                <w:color w:val="auto"/>
                <w:spacing w:val="15"/>
                <w:lang w:eastAsia="zh-CN"/>
              </w:rPr>
              <w:t>凝集的标本数占同期需抗凝的标本总数的比</w:t>
            </w:r>
            <w:r>
              <w:rPr>
                <w:color w:val="auto"/>
                <w:spacing w:val="2"/>
                <w:lang w:eastAsia="zh-CN"/>
              </w:rPr>
              <w:t>例。</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41" w:right="13" w:hanging="26"/>
              <w:rPr>
                <w:color w:val="auto"/>
                <w:lang w:eastAsia="zh-CN"/>
              </w:rPr>
            </w:pPr>
            <w:r>
              <w:rPr>
                <w:color w:val="auto"/>
                <w:spacing w:val="2"/>
                <w:lang w:eastAsia="zh-CN"/>
              </w:rPr>
              <w:t>（六）检验前周转时间</w:t>
            </w:r>
            <w:r>
              <w:rPr>
                <w:color w:val="auto"/>
                <w:spacing w:val="-1"/>
                <w:lang w:eastAsia="zh-CN"/>
              </w:rPr>
              <w:t>中位数</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86"/>
              <w:rPr>
                <w:color w:val="auto"/>
              </w:rPr>
            </w:pPr>
            <w:r>
              <w:rPr>
                <w:color w:val="auto"/>
                <w:spacing w:val="4"/>
              </w:rPr>
              <w:t>分钟</w:t>
            </w:r>
          </w:p>
        </w:tc>
        <w:tc>
          <w:tcPr>
            <w:tcW w:w="2939" w:type="dxa"/>
          </w:tcPr>
          <w:p>
            <w:pPr>
              <w:pStyle w:val="8"/>
              <w:spacing w:before="0" w:line="240" w:lineRule="exact"/>
              <w:ind w:left="18"/>
              <w:rPr>
                <w:color w:val="auto"/>
                <w:lang w:eastAsia="zh-CN"/>
              </w:rPr>
            </w:pPr>
            <w:r>
              <w:rPr>
                <w:color w:val="auto"/>
                <w:spacing w:val="9"/>
                <w:lang w:eastAsia="zh-CN"/>
              </w:rPr>
              <w:t>检验前周转时间中位数</w:t>
            </w:r>
          </w:p>
          <w:p>
            <w:pPr>
              <w:pStyle w:val="8"/>
              <w:spacing w:line="240" w:lineRule="exact"/>
              <w:ind w:left="17"/>
              <w:rPr>
                <w:color w:val="auto"/>
                <w:lang w:eastAsia="zh-CN"/>
              </w:rPr>
            </w:pPr>
            <w:r>
              <w:rPr>
                <w:rFonts w:ascii="Times New Roman" w:hAnsi="Times New Roman" w:eastAsia="Times New Roman" w:cs="Times New Roman"/>
                <w:color w:val="auto"/>
                <w:spacing w:val="5"/>
                <w:position w:val="2"/>
                <w:lang w:eastAsia="zh-CN"/>
              </w:rPr>
              <w:t>=X(n+1)/2,n</w:t>
            </w:r>
            <w:r>
              <w:rPr>
                <w:color w:val="auto"/>
                <w:spacing w:val="5"/>
                <w:position w:val="2"/>
                <w:lang w:eastAsia="zh-CN"/>
              </w:rPr>
              <w:t>为奇数</w:t>
            </w:r>
          </w:p>
          <w:p>
            <w:pPr>
              <w:pStyle w:val="8"/>
              <w:spacing w:line="240" w:lineRule="exact"/>
              <w:ind w:left="18"/>
              <w:rPr>
                <w:rFonts w:ascii="Times New Roman" w:hAnsi="Times New Roman" w:eastAsia="Times New Roman" w:cs="Times New Roman"/>
                <w:color w:val="auto"/>
                <w:lang w:eastAsia="zh-CN"/>
              </w:rPr>
            </w:pPr>
            <w:r>
              <w:rPr>
                <w:color w:val="auto"/>
                <w:spacing w:val="8"/>
                <w:lang w:eastAsia="zh-CN"/>
              </w:rPr>
              <w:t>检验前周转时间中位数</w:t>
            </w:r>
            <w:r>
              <w:rPr>
                <w:rFonts w:ascii="Times New Roman" w:hAnsi="Times New Roman" w:eastAsia="Times New Roman" w:cs="Times New Roman"/>
                <w:color w:val="auto"/>
                <w:spacing w:val="8"/>
                <w:lang w:eastAsia="zh-CN"/>
              </w:rPr>
              <w:t>=</w:t>
            </w:r>
          </w:p>
          <w:p>
            <w:pPr>
              <w:pStyle w:val="8"/>
              <w:spacing w:before="0" w:line="240" w:lineRule="exact"/>
              <w:ind w:left="20" w:right="11" w:hanging="2"/>
              <w:jc w:val="both"/>
              <w:rPr>
                <w:color w:val="auto"/>
                <w:lang w:eastAsia="zh-CN"/>
              </w:rPr>
            </w:pPr>
            <w:r>
              <w:rPr>
                <w:color w:val="auto"/>
                <w:spacing w:val="5"/>
                <w:lang w:eastAsia="zh-CN"/>
              </w:rPr>
              <w:t>（</w:t>
            </w:r>
            <w:r>
              <w:rPr>
                <w:rFonts w:ascii="Times New Roman" w:hAnsi="Times New Roman" w:eastAsia="Times New Roman" w:cs="Times New Roman"/>
                <w:color w:val="auto"/>
                <w:lang w:eastAsia="zh-CN"/>
              </w:rPr>
              <w:t>Xn</w:t>
            </w:r>
            <w:r>
              <w:rPr>
                <w:rFonts w:ascii="Times New Roman" w:hAnsi="Times New Roman" w:eastAsia="Times New Roman" w:cs="Times New Roman"/>
                <w:color w:val="auto"/>
                <w:spacing w:val="5"/>
                <w:lang w:eastAsia="zh-CN"/>
              </w:rPr>
              <w:t>/2+</w:t>
            </w:r>
            <w:r>
              <w:rPr>
                <w:rFonts w:ascii="Times New Roman" w:hAnsi="Times New Roman" w:eastAsia="Times New Roman" w:cs="Times New Roman"/>
                <w:color w:val="auto"/>
                <w:lang w:eastAsia="zh-CN"/>
              </w:rPr>
              <w:t>Xn</w:t>
            </w:r>
            <w:r>
              <w:rPr>
                <w:rFonts w:ascii="Times New Roman" w:hAnsi="Times New Roman" w:eastAsia="Times New Roman" w:cs="Times New Roman"/>
                <w:color w:val="auto"/>
                <w:spacing w:val="5"/>
                <w:lang w:eastAsia="zh-CN"/>
              </w:rPr>
              <w:t>/2+1</w:t>
            </w:r>
            <w:r>
              <w:rPr>
                <w:color w:val="auto"/>
                <w:spacing w:val="5"/>
                <w:lang w:eastAsia="zh-CN"/>
              </w:rPr>
              <w:t>）</w:t>
            </w:r>
            <w:r>
              <w:rPr>
                <w:rFonts w:ascii="Times New Roman" w:hAnsi="Times New Roman" w:eastAsia="Times New Roman" w:cs="Times New Roman"/>
                <w:color w:val="auto"/>
                <w:spacing w:val="5"/>
                <w:lang w:eastAsia="zh-CN"/>
              </w:rPr>
              <w:t>/2</w:t>
            </w:r>
            <w:r>
              <w:rPr>
                <w:color w:val="auto"/>
                <w:spacing w:val="5"/>
                <w:lang w:eastAsia="zh-CN"/>
              </w:rPr>
              <w:t>，</w:t>
            </w:r>
            <w:r>
              <w:rPr>
                <w:rFonts w:ascii="Times New Roman" w:hAnsi="Times New Roman" w:eastAsia="Times New Roman" w:cs="Times New Roman"/>
                <w:color w:val="auto"/>
                <w:spacing w:val="5"/>
                <w:lang w:eastAsia="zh-CN"/>
              </w:rPr>
              <w:t>n</w:t>
            </w:r>
            <w:r>
              <w:rPr>
                <w:color w:val="auto"/>
                <w:spacing w:val="5"/>
                <w:lang w:eastAsia="zh-CN"/>
              </w:rPr>
              <w:t>为偶数。</w:t>
            </w:r>
            <w:r>
              <w:rPr>
                <w:color w:val="auto"/>
                <w:spacing w:val="4"/>
                <w:lang w:eastAsia="zh-CN"/>
              </w:rPr>
              <w:t>注：</w:t>
            </w:r>
            <w:r>
              <w:rPr>
                <w:rFonts w:ascii="Times New Roman" w:hAnsi="Times New Roman" w:eastAsia="Times New Roman" w:cs="Times New Roman"/>
                <w:color w:val="auto"/>
                <w:spacing w:val="4"/>
                <w:lang w:eastAsia="zh-CN"/>
              </w:rPr>
              <w:t>n</w:t>
            </w:r>
            <w:r>
              <w:rPr>
                <w:color w:val="auto"/>
                <w:spacing w:val="4"/>
                <w:lang w:eastAsia="zh-CN"/>
              </w:rPr>
              <w:t>为检验标本数，</w:t>
            </w:r>
            <w:r>
              <w:rPr>
                <w:rFonts w:ascii="Times New Roman" w:hAnsi="Times New Roman" w:eastAsia="Times New Roman" w:cs="Times New Roman"/>
                <w:color w:val="auto"/>
                <w:spacing w:val="4"/>
                <w:lang w:eastAsia="zh-CN"/>
              </w:rPr>
              <w:t>X</w:t>
            </w:r>
            <w:r>
              <w:rPr>
                <w:color w:val="auto"/>
                <w:spacing w:val="4"/>
                <w:lang w:eastAsia="zh-CN"/>
              </w:rPr>
              <w:t>为检验前</w:t>
            </w:r>
            <w:r>
              <w:rPr>
                <w:color w:val="auto"/>
                <w:spacing w:val="8"/>
                <w:lang w:eastAsia="zh-CN"/>
              </w:rPr>
              <w:t>周转时间</w:t>
            </w:r>
          </w:p>
        </w:tc>
        <w:tc>
          <w:tcPr>
            <w:tcW w:w="3944" w:type="dxa"/>
          </w:tcPr>
          <w:p>
            <w:pPr>
              <w:spacing w:line="240" w:lineRule="exact"/>
              <w:rPr>
                <w:color w:val="auto"/>
                <w:lang w:eastAsia="zh-CN"/>
              </w:rPr>
            </w:pPr>
          </w:p>
          <w:p>
            <w:pPr>
              <w:pStyle w:val="8"/>
              <w:spacing w:before="0" w:line="240" w:lineRule="exact"/>
              <w:ind w:left="23" w:right="7" w:hanging="4"/>
              <w:jc w:val="both"/>
              <w:rPr>
                <w:color w:val="auto"/>
                <w:lang w:eastAsia="zh-CN"/>
              </w:rPr>
            </w:pPr>
            <w:r>
              <w:rPr>
                <w:color w:val="auto"/>
                <w:spacing w:val="15"/>
                <w:lang w:eastAsia="zh-CN"/>
              </w:rPr>
              <w:t>检验前周转时间是指从标本采集到实验室接</w:t>
            </w:r>
            <w:r>
              <w:rPr>
                <w:color w:val="auto"/>
                <w:spacing w:val="5"/>
                <w:lang w:eastAsia="zh-CN"/>
              </w:rPr>
              <w:t>收标本的时间（以分钟为单位）。检验前周转时间中位数，是指将检验前周转时间由长到短</w:t>
            </w:r>
            <w:r>
              <w:rPr>
                <w:color w:val="auto"/>
                <w:spacing w:val="7"/>
                <w:lang w:eastAsia="zh-CN"/>
              </w:rPr>
              <w:t>排序后取其中位数。</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9" w:right="13" w:hanging="4"/>
              <w:rPr>
                <w:color w:val="auto"/>
                <w:lang w:eastAsia="zh-CN"/>
              </w:rPr>
            </w:pPr>
            <w:r>
              <w:rPr>
                <w:color w:val="auto"/>
                <w:spacing w:val="2"/>
                <w:lang w:eastAsia="zh-CN"/>
              </w:rPr>
              <w:t>（七）室内质控项目开</w:t>
            </w:r>
            <w:r>
              <w:rPr>
                <w:color w:val="auto"/>
                <w:spacing w:val="4"/>
                <w:lang w:eastAsia="zh-CN"/>
              </w:rPr>
              <w:t>展率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153"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开展室内质控的检验项目数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5"/>
                <w:lang w:eastAsia="zh-CN"/>
              </w:rPr>
              <w:t>期检验项目总数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34" w:right="10" w:hanging="6"/>
              <w:rPr>
                <w:color w:val="auto"/>
                <w:lang w:eastAsia="zh-CN"/>
              </w:rPr>
            </w:pPr>
            <w:r>
              <w:rPr>
                <w:color w:val="auto"/>
                <w:spacing w:val="15"/>
                <w:lang w:eastAsia="zh-CN"/>
              </w:rPr>
              <w:t>开展室内质控的检验项目数占同期检验项目</w:t>
            </w:r>
            <w:r>
              <w:rPr>
                <w:color w:val="auto"/>
                <w:spacing w:val="4"/>
                <w:lang w:eastAsia="zh-CN"/>
              </w:rPr>
              <w:t>总数的比例。</w:t>
            </w:r>
          </w:p>
        </w:tc>
        <w:tc>
          <w:tcPr>
            <w:tcW w:w="1177" w:type="dxa"/>
          </w:tcPr>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3" w:right="13" w:hanging="8"/>
              <w:rPr>
                <w:color w:val="auto"/>
                <w:lang w:eastAsia="zh-CN"/>
              </w:rPr>
            </w:pPr>
            <w:r>
              <w:rPr>
                <w:color w:val="auto"/>
                <w:spacing w:val="2"/>
                <w:lang w:eastAsia="zh-CN"/>
              </w:rPr>
              <w:t>（八）室内质控项目变</w:t>
            </w:r>
            <w:r>
              <w:rPr>
                <w:color w:val="auto"/>
                <w:spacing w:val="8"/>
                <w:lang w:eastAsia="zh-CN"/>
              </w:rPr>
              <w:t>异系数不合格率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67" w:hanging="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室内质控项目变异系数高于要</w:t>
            </w:r>
            <w:r>
              <w:rPr>
                <w:color w:val="auto"/>
                <w:spacing w:val="8"/>
                <w:lang w:eastAsia="zh-CN"/>
              </w:rPr>
              <w:t>求的检验项目数</w:t>
            </w:r>
            <w:r>
              <w:rPr>
                <w:rFonts w:ascii="Times New Roman" w:hAnsi="Times New Roman" w:eastAsia="Times New Roman" w:cs="Times New Roman"/>
                <w:color w:val="auto"/>
                <w:spacing w:val="8"/>
                <w:lang w:eastAsia="zh-CN"/>
              </w:rPr>
              <w:t>/</w:t>
            </w:r>
            <w:r>
              <w:rPr>
                <w:color w:val="auto"/>
                <w:spacing w:val="8"/>
                <w:lang w:eastAsia="zh-CN"/>
              </w:rPr>
              <w:t>同期对室内质控</w:t>
            </w:r>
            <w:r>
              <w:rPr>
                <w:color w:val="auto"/>
                <w:spacing w:val="9"/>
                <w:lang w:eastAsia="zh-CN"/>
              </w:rPr>
              <w:t>项目变异系数有要求的检验项目</w:t>
            </w:r>
            <w:r>
              <w:rPr>
                <w:color w:val="auto"/>
                <w:spacing w:val="1"/>
                <w:lang w:eastAsia="zh-CN"/>
              </w:rPr>
              <w:t>总数</w:t>
            </w:r>
            <w:r>
              <w:rPr>
                <w:rFonts w:ascii="Times New Roman" w:hAnsi="Times New Roman" w:eastAsia="Times New Roman" w:cs="Times New Roman"/>
                <w:color w:val="auto"/>
                <w:spacing w:val="1"/>
                <w:lang w:eastAsia="zh-CN"/>
              </w:rPr>
              <w:t>×100%</w:t>
            </w:r>
          </w:p>
        </w:tc>
        <w:tc>
          <w:tcPr>
            <w:tcW w:w="3944" w:type="dxa"/>
          </w:tcPr>
          <w:p>
            <w:pPr>
              <w:pStyle w:val="8"/>
              <w:spacing w:before="0" w:line="240" w:lineRule="exact"/>
              <w:ind w:left="19" w:right="10" w:firstLine="14"/>
              <w:jc w:val="both"/>
              <w:rPr>
                <w:color w:val="auto"/>
                <w:lang w:eastAsia="zh-CN"/>
              </w:rPr>
            </w:pPr>
            <w:r>
              <w:rPr>
                <w:color w:val="auto"/>
                <w:spacing w:val="14"/>
                <w:lang w:eastAsia="zh-CN"/>
              </w:rPr>
              <w:t>室内质控项目变异系数高于要求的检验项目</w:t>
            </w:r>
            <w:r>
              <w:rPr>
                <w:color w:val="auto"/>
                <w:spacing w:val="15"/>
                <w:lang w:eastAsia="zh-CN"/>
              </w:rPr>
              <w:t>数占同期对室内质控项目变异系数有要求的</w:t>
            </w:r>
            <w:r>
              <w:rPr>
                <w:color w:val="auto"/>
                <w:spacing w:val="8"/>
                <w:lang w:eastAsia="zh-CN"/>
              </w:rPr>
              <w:t>检验项目总数的比例。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8" w:right="13" w:hanging="3"/>
              <w:rPr>
                <w:color w:val="auto"/>
                <w:lang w:eastAsia="zh-CN"/>
              </w:rPr>
            </w:pPr>
            <w:r>
              <w:rPr>
                <w:color w:val="auto"/>
                <w:spacing w:val="2"/>
                <w:lang w:eastAsia="zh-CN"/>
              </w:rPr>
              <w:t>（九）室间质评项目参</w:t>
            </w:r>
            <w:r>
              <w:rPr>
                <w:color w:val="auto"/>
                <w:spacing w:val="5"/>
                <w:lang w:eastAsia="zh-CN"/>
              </w:rPr>
              <w:t>加率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122"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参加室间质评的检验项目数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9"/>
                <w:lang w:eastAsia="zh-CN"/>
              </w:rPr>
              <w:t>期特定机构已开展的室间质评项</w:t>
            </w:r>
            <w:r>
              <w:rPr>
                <w:color w:val="auto"/>
                <w:spacing w:val="2"/>
                <w:lang w:eastAsia="zh-CN"/>
              </w:rPr>
              <w:t>目总数</w:t>
            </w:r>
            <w:r>
              <w:rPr>
                <w:rFonts w:ascii="Times New Roman" w:hAnsi="Times New Roman" w:eastAsia="Times New Roman" w:cs="Times New Roman"/>
                <w:color w:val="auto"/>
                <w:spacing w:val="2"/>
                <w:lang w:eastAsia="zh-CN"/>
              </w:rPr>
              <w:t>×100%</w:t>
            </w:r>
          </w:p>
        </w:tc>
        <w:tc>
          <w:tcPr>
            <w:tcW w:w="3944" w:type="dxa"/>
          </w:tcPr>
          <w:p>
            <w:pPr>
              <w:pStyle w:val="8"/>
              <w:spacing w:before="0" w:line="240" w:lineRule="exact"/>
              <w:ind w:left="19" w:right="10" w:firstLine="7"/>
              <w:jc w:val="both"/>
              <w:rPr>
                <w:color w:val="auto"/>
                <w:lang w:eastAsia="zh-CN"/>
              </w:rPr>
            </w:pPr>
            <w:r>
              <w:rPr>
                <w:color w:val="auto"/>
                <w:spacing w:val="15"/>
                <w:lang w:eastAsia="zh-CN"/>
              </w:rPr>
              <w:t>参加室间质评的检验项目数占同期特定机构</w:t>
            </w:r>
            <w:r>
              <w:rPr>
                <w:color w:val="auto"/>
                <w:spacing w:val="5"/>
                <w:lang w:eastAsia="zh-CN"/>
              </w:rPr>
              <w:t>（国家、省级等）已开展的室间质评项目总数</w:t>
            </w:r>
            <w:r>
              <w:rPr>
                <w:color w:val="auto"/>
                <w:spacing w:val="6"/>
                <w:lang w:eastAsia="zh-CN"/>
              </w:rPr>
              <w:t>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0" w:right="13" w:hanging="5"/>
              <w:rPr>
                <w:color w:val="auto"/>
                <w:lang w:eastAsia="zh-CN"/>
              </w:rPr>
            </w:pPr>
            <w:r>
              <w:rPr>
                <w:color w:val="auto"/>
                <w:spacing w:val="2"/>
                <w:lang w:eastAsia="zh-CN"/>
              </w:rPr>
              <w:t>（十）室间质评项目不</w:t>
            </w:r>
            <w:r>
              <w:rPr>
                <w:color w:val="auto"/>
                <w:spacing w:val="6"/>
                <w:lang w:eastAsia="zh-CN"/>
              </w:rPr>
              <w:t>合格率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9" w:right="122" w:hanging="12"/>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室间质评不合格的检验项目数</w:t>
            </w:r>
            <w:r>
              <w:rPr>
                <w:rFonts w:ascii="Times New Roman" w:hAnsi="Times New Roman" w:eastAsia="Times New Roman" w:cs="Times New Roman"/>
                <w:color w:val="auto"/>
                <w:spacing w:val="8"/>
                <w:lang w:eastAsia="zh-CN"/>
              </w:rPr>
              <w:t>/</w:t>
            </w:r>
            <w:r>
              <w:rPr>
                <w:color w:val="auto"/>
                <w:spacing w:val="8"/>
                <w:lang w:eastAsia="zh-CN"/>
              </w:rPr>
              <w:t>同期参加室间质评检验项目总数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42" w:right="10" w:hanging="8"/>
              <w:rPr>
                <w:color w:val="auto"/>
                <w:lang w:eastAsia="zh-CN"/>
              </w:rPr>
            </w:pPr>
            <w:r>
              <w:rPr>
                <w:color w:val="auto"/>
                <w:spacing w:val="14"/>
                <w:lang w:eastAsia="zh-CN"/>
              </w:rPr>
              <w:t>室间质评不合格的检验项目数占同期参加室</w:t>
            </w:r>
            <w:r>
              <w:rPr>
                <w:color w:val="auto"/>
                <w:spacing w:val="6"/>
                <w:lang w:eastAsia="zh-CN"/>
              </w:rPr>
              <w:t>间质评检验项目总数的比例。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1269" w:type="dxa"/>
            <w:vMerge w:val="continue"/>
            <w:tcBorders>
              <w:top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36" w:right="13" w:hanging="21"/>
              <w:rPr>
                <w:color w:val="auto"/>
                <w:lang w:eastAsia="zh-CN"/>
              </w:rPr>
            </w:pPr>
            <w:r>
              <w:rPr>
                <w:color w:val="auto"/>
                <w:spacing w:val="2"/>
                <w:lang w:eastAsia="zh-CN"/>
              </w:rPr>
              <w:t>（十一）实验室内周转</w:t>
            </w:r>
            <w:r>
              <w:rPr>
                <w:color w:val="auto"/>
                <w:spacing w:val="4"/>
                <w:lang w:eastAsia="zh-CN"/>
              </w:rPr>
              <w:t>时间中位数</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86"/>
              <w:rPr>
                <w:color w:val="auto"/>
              </w:rPr>
            </w:pPr>
            <w:r>
              <w:rPr>
                <w:color w:val="auto"/>
                <w:spacing w:val="4"/>
              </w:rPr>
              <w:t>分钟</w:t>
            </w:r>
          </w:p>
        </w:tc>
        <w:tc>
          <w:tcPr>
            <w:tcW w:w="2939" w:type="dxa"/>
          </w:tcPr>
          <w:p>
            <w:pPr>
              <w:pStyle w:val="8"/>
              <w:spacing w:before="0" w:line="240" w:lineRule="exact"/>
              <w:ind w:left="31"/>
              <w:rPr>
                <w:color w:val="auto"/>
                <w:lang w:eastAsia="zh-CN"/>
              </w:rPr>
            </w:pPr>
            <w:r>
              <w:rPr>
                <w:color w:val="auto"/>
                <w:spacing w:val="8"/>
                <w:position w:val="4"/>
                <w:lang w:eastAsia="zh-CN"/>
              </w:rPr>
              <w:t>实验室内周转时间中位数</w:t>
            </w:r>
          </w:p>
          <w:p>
            <w:pPr>
              <w:pStyle w:val="8"/>
              <w:spacing w:line="240" w:lineRule="exact"/>
              <w:ind w:left="17"/>
              <w:rPr>
                <w:color w:val="auto"/>
                <w:lang w:eastAsia="zh-CN"/>
              </w:rPr>
            </w:pPr>
            <w:r>
              <w:rPr>
                <w:rFonts w:ascii="Times New Roman" w:hAnsi="Times New Roman" w:eastAsia="Times New Roman" w:cs="Times New Roman"/>
                <w:color w:val="auto"/>
                <w:spacing w:val="5"/>
                <w:position w:val="2"/>
                <w:lang w:eastAsia="zh-CN"/>
              </w:rPr>
              <w:t>=X(n+1)/2,n</w:t>
            </w:r>
            <w:r>
              <w:rPr>
                <w:color w:val="auto"/>
                <w:spacing w:val="5"/>
                <w:position w:val="2"/>
                <w:lang w:eastAsia="zh-CN"/>
              </w:rPr>
              <w:t>为奇数</w:t>
            </w:r>
          </w:p>
          <w:p>
            <w:pPr>
              <w:pStyle w:val="8"/>
              <w:spacing w:before="0" w:line="240" w:lineRule="exact"/>
              <w:ind w:left="31"/>
              <w:rPr>
                <w:rFonts w:ascii="Times New Roman" w:hAnsi="Times New Roman" w:eastAsia="Times New Roman" w:cs="Times New Roman"/>
                <w:color w:val="auto"/>
                <w:lang w:eastAsia="zh-CN"/>
              </w:rPr>
            </w:pPr>
            <w:r>
              <w:rPr>
                <w:color w:val="auto"/>
                <w:spacing w:val="7"/>
                <w:position w:val="1"/>
                <w:lang w:eastAsia="zh-CN"/>
              </w:rPr>
              <w:t>实验室内周转时间中位数</w:t>
            </w:r>
            <w:r>
              <w:rPr>
                <w:rFonts w:ascii="Times New Roman" w:hAnsi="Times New Roman" w:eastAsia="Times New Roman" w:cs="Times New Roman"/>
                <w:color w:val="auto"/>
                <w:spacing w:val="7"/>
                <w:position w:val="1"/>
                <w:lang w:eastAsia="zh-CN"/>
              </w:rPr>
              <w:t>=</w:t>
            </w:r>
          </w:p>
          <w:p>
            <w:pPr>
              <w:pStyle w:val="8"/>
              <w:spacing w:before="0" w:line="240" w:lineRule="exact"/>
              <w:ind w:left="18"/>
              <w:rPr>
                <w:color w:val="auto"/>
                <w:lang w:eastAsia="zh-CN"/>
              </w:rPr>
            </w:pPr>
            <w:r>
              <w:rPr>
                <w:color w:val="auto"/>
                <w:spacing w:val="4"/>
                <w:position w:val="1"/>
                <w:lang w:eastAsia="zh-CN"/>
              </w:rPr>
              <w:t>（</w:t>
            </w:r>
            <w:r>
              <w:rPr>
                <w:rFonts w:ascii="Times New Roman" w:hAnsi="Times New Roman" w:eastAsia="Times New Roman" w:cs="Times New Roman"/>
                <w:color w:val="auto"/>
                <w:position w:val="1"/>
                <w:lang w:eastAsia="zh-CN"/>
              </w:rPr>
              <w:t>Xn</w:t>
            </w:r>
            <w:r>
              <w:rPr>
                <w:rFonts w:ascii="Times New Roman" w:hAnsi="Times New Roman" w:eastAsia="Times New Roman" w:cs="Times New Roman"/>
                <w:color w:val="auto"/>
                <w:spacing w:val="4"/>
                <w:position w:val="1"/>
                <w:lang w:eastAsia="zh-CN"/>
              </w:rPr>
              <w:t>/2+</w:t>
            </w:r>
            <w:r>
              <w:rPr>
                <w:rFonts w:ascii="Times New Roman" w:hAnsi="Times New Roman" w:eastAsia="Times New Roman" w:cs="Times New Roman"/>
                <w:color w:val="auto"/>
                <w:position w:val="1"/>
                <w:lang w:eastAsia="zh-CN"/>
              </w:rPr>
              <w:t>Xn</w:t>
            </w:r>
            <w:r>
              <w:rPr>
                <w:rFonts w:ascii="Times New Roman" w:hAnsi="Times New Roman" w:eastAsia="Times New Roman" w:cs="Times New Roman"/>
                <w:color w:val="auto"/>
                <w:spacing w:val="4"/>
                <w:position w:val="1"/>
                <w:lang w:eastAsia="zh-CN"/>
              </w:rPr>
              <w:t>/2+1</w:t>
            </w:r>
            <w:r>
              <w:rPr>
                <w:color w:val="auto"/>
                <w:spacing w:val="4"/>
                <w:position w:val="1"/>
                <w:lang w:eastAsia="zh-CN"/>
              </w:rPr>
              <w:t>）</w:t>
            </w:r>
            <w:r>
              <w:rPr>
                <w:rFonts w:ascii="Times New Roman" w:hAnsi="Times New Roman" w:eastAsia="Times New Roman" w:cs="Times New Roman"/>
                <w:color w:val="auto"/>
                <w:spacing w:val="4"/>
                <w:position w:val="1"/>
                <w:lang w:eastAsia="zh-CN"/>
              </w:rPr>
              <w:t>/2</w:t>
            </w:r>
            <w:r>
              <w:rPr>
                <w:color w:val="auto"/>
                <w:spacing w:val="4"/>
                <w:position w:val="1"/>
                <w:lang w:eastAsia="zh-CN"/>
              </w:rPr>
              <w:t>，</w:t>
            </w:r>
            <w:r>
              <w:rPr>
                <w:rFonts w:ascii="Times New Roman" w:hAnsi="Times New Roman" w:eastAsia="Times New Roman" w:cs="Times New Roman"/>
                <w:color w:val="auto"/>
                <w:spacing w:val="4"/>
                <w:position w:val="1"/>
                <w:lang w:eastAsia="zh-CN"/>
              </w:rPr>
              <w:t>n</w:t>
            </w:r>
            <w:r>
              <w:rPr>
                <w:color w:val="auto"/>
                <w:spacing w:val="4"/>
                <w:position w:val="1"/>
                <w:lang w:eastAsia="zh-CN"/>
              </w:rPr>
              <w:t>为偶数。</w:t>
            </w:r>
          </w:p>
          <w:p>
            <w:pPr>
              <w:pStyle w:val="8"/>
              <w:spacing w:before="0" w:line="240" w:lineRule="exact"/>
              <w:ind w:left="20" w:right="11" w:firstLine="5"/>
              <w:rPr>
                <w:color w:val="auto"/>
                <w:lang w:eastAsia="zh-CN"/>
              </w:rPr>
            </w:pPr>
            <w:r>
              <w:rPr>
                <w:color w:val="auto"/>
                <w:spacing w:val="4"/>
                <w:lang w:eastAsia="zh-CN"/>
              </w:rPr>
              <w:t>注：</w:t>
            </w:r>
            <w:r>
              <w:rPr>
                <w:rFonts w:ascii="Times New Roman" w:hAnsi="Times New Roman" w:eastAsia="Times New Roman" w:cs="Times New Roman"/>
                <w:color w:val="auto"/>
                <w:spacing w:val="4"/>
                <w:lang w:eastAsia="zh-CN"/>
              </w:rPr>
              <w:t>n</w:t>
            </w:r>
            <w:r>
              <w:rPr>
                <w:color w:val="auto"/>
                <w:spacing w:val="4"/>
                <w:lang w:eastAsia="zh-CN"/>
              </w:rPr>
              <w:t>为检验标本数，</w:t>
            </w:r>
            <w:r>
              <w:rPr>
                <w:rFonts w:ascii="Times New Roman" w:hAnsi="Times New Roman" w:eastAsia="Times New Roman" w:cs="Times New Roman"/>
                <w:color w:val="auto"/>
                <w:spacing w:val="4"/>
                <w:lang w:eastAsia="zh-CN"/>
              </w:rPr>
              <w:t>X</w:t>
            </w:r>
            <w:r>
              <w:rPr>
                <w:color w:val="auto"/>
                <w:spacing w:val="4"/>
                <w:lang w:eastAsia="zh-CN"/>
              </w:rPr>
              <w:t>为检验前</w:t>
            </w:r>
            <w:r>
              <w:rPr>
                <w:color w:val="auto"/>
                <w:spacing w:val="8"/>
                <w:lang w:eastAsia="zh-CN"/>
              </w:rPr>
              <w:t>周转时间</w:t>
            </w:r>
          </w:p>
        </w:tc>
        <w:tc>
          <w:tcPr>
            <w:tcW w:w="3944" w:type="dxa"/>
          </w:tcPr>
          <w:p>
            <w:pPr>
              <w:spacing w:line="240" w:lineRule="exact"/>
              <w:rPr>
                <w:color w:val="auto"/>
                <w:lang w:eastAsia="zh-CN"/>
              </w:rPr>
            </w:pPr>
          </w:p>
          <w:p>
            <w:pPr>
              <w:pStyle w:val="8"/>
              <w:spacing w:before="0" w:line="240" w:lineRule="exact"/>
              <w:ind w:left="21" w:right="10" w:firstLine="10"/>
              <w:jc w:val="both"/>
              <w:rPr>
                <w:color w:val="auto"/>
                <w:lang w:eastAsia="zh-CN"/>
              </w:rPr>
            </w:pPr>
            <w:r>
              <w:rPr>
                <w:color w:val="auto"/>
                <w:spacing w:val="15"/>
                <w:lang w:eastAsia="zh-CN"/>
              </w:rPr>
              <w:t>实验室内周转时间是指从实验室收到标本到</w:t>
            </w:r>
            <w:r>
              <w:rPr>
                <w:color w:val="auto"/>
                <w:spacing w:val="5"/>
                <w:lang w:eastAsia="zh-CN"/>
              </w:rPr>
              <w:t>发送报告的时间（以分钟为单位）。实验室内周转时间中位数，是指将实验室内周转时间由</w:t>
            </w:r>
            <w:r>
              <w:rPr>
                <w:color w:val="auto"/>
                <w:spacing w:val="8"/>
                <w:lang w:eastAsia="zh-CN"/>
              </w:rPr>
              <w:t>长到短排序后取其中位数。</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spacing w:line="240" w:lineRule="exact"/>
        <w:rPr>
          <w:color w:val="auto"/>
        </w:rPr>
      </w:pPr>
    </w:p>
    <w:p>
      <w:pPr>
        <w:spacing w:line="240" w:lineRule="exact"/>
        <w:rPr>
          <w:color w:val="auto"/>
        </w:rPr>
        <w:sectPr>
          <w:footerReference r:id="rId31"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autoSpaceDE/>
              <w:autoSpaceDN/>
              <w:spacing w:before="0" w:line="30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autoSpaceDE/>
              <w:autoSpaceDN/>
              <w:spacing w:before="0" w:line="30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autoSpaceDE/>
              <w:autoSpaceDN/>
              <w:spacing w:before="0" w:line="30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autoSpaceDE/>
              <w:autoSpaceDN/>
              <w:spacing w:before="0" w:line="30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autoSpaceDE/>
              <w:autoSpaceDN/>
              <w:spacing w:before="0" w:line="30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autoSpaceDE/>
              <w:autoSpaceDN/>
              <w:spacing w:before="0" w:line="30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autoSpaceDE/>
              <w:autoSpaceDN/>
              <w:spacing w:before="0" w:line="30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269" w:type="dxa"/>
            <w:vMerge w:val="restart"/>
            <w:tcBorders>
              <w:bottom w:val="nil"/>
            </w:tcBorders>
          </w:tcPr>
          <w:p>
            <w:pPr>
              <w:autoSpaceDE/>
              <w:autoSpaceDN/>
              <w:spacing w:line="300" w:lineRule="exact"/>
              <w:rPr>
                <w:color w:val="auto"/>
              </w:rPr>
            </w:pPr>
          </w:p>
        </w:tc>
        <w:tc>
          <w:tcPr>
            <w:tcW w:w="1956" w:type="dxa"/>
          </w:tcPr>
          <w:p>
            <w:pPr>
              <w:autoSpaceDE/>
              <w:autoSpaceDN/>
              <w:spacing w:line="300" w:lineRule="exact"/>
              <w:rPr>
                <w:color w:val="auto"/>
                <w:lang w:eastAsia="zh-CN"/>
              </w:rPr>
            </w:pPr>
          </w:p>
          <w:p>
            <w:pPr>
              <w:pStyle w:val="8"/>
              <w:autoSpaceDE/>
              <w:autoSpaceDN/>
              <w:spacing w:before="0" w:line="300" w:lineRule="exact"/>
              <w:ind w:left="19" w:right="13" w:hanging="4"/>
              <w:rPr>
                <w:color w:val="auto"/>
                <w:lang w:eastAsia="zh-CN"/>
              </w:rPr>
            </w:pPr>
            <w:r>
              <w:rPr>
                <w:color w:val="auto"/>
                <w:spacing w:val="2"/>
                <w:lang w:eastAsia="zh-CN"/>
              </w:rPr>
              <w:t>（十二）检验报告不正</w:t>
            </w:r>
            <w:r>
              <w:rPr>
                <w:color w:val="auto"/>
                <w:spacing w:val="4"/>
                <w:lang w:eastAsia="zh-CN"/>
              </w:rPr>
              <w:t>确率</w:t>
            </w:r>
          </w:p>
        </w:tc>
        <w:tc>
          <w:tcPr>
            <w:tcW w:w="1814" w:type="dxa"/>
          </w:tcPr>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autoSpaceDE/>
              <w:autoSpaceDN/>
              <w:spacing w:line="300" w:lineRule="exact"/>
              <w:rPr>
                <w:color w:val="auto"/>
                <w:lang w:eastAsia="zh-CN"/>
              </w:rPr>
            </w:pPr>
          </w:p>
          <w:p>
            <w:pPr>
              <w:pStyle w:val="8"/>
              <w:autoSpaceDE/>
              <w:autoSpaceDN/>
              <w:spacing w:before="0" w:line="300" w:lineRule="exact"/>
              <w:ind w:left="26" w:right="211"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实验室发出的不正确检验报告</w:t>
            </w:r>
            <w:r>
              <w:rPr>
                <w:color w:val="auto"/>
                <w:spacing w:val="5"/>
                <w:lang w:eastAsia="zh-CN"/>
              </w:rPr>
              <w:t>数</w:t>
            </w:r>
            <w:r>
              <w:rPr>
                <w:rFonts w:ascii="Times New Roman" w:hAnsi="Times New Roman" w:eastAsia="Times New Roman" w:cs="Times New Roman"/>
                <w:color w:val="auto"/>
                <w:spacing w:val="5"/>
                <w:lang w:eastAsia="zh-CN"/>
              </w:rPr>
              <w:t>/</w:t>
            </w:r>
            <w:r>
              <w:rPr>
                <w:color w:val="auto"/>
                <w:spacing w:val="5"/>
                <w:lang w:eastAsia="zh-CN"/>
              </w:rPr>
              <w:t>同期检验报告总数</w:t>
            </w:r>
            <w:r>
              <w:rPr>
                <w:rFonts w:ascii="Times New Roman" w:hAnsi="Times New Roman" w:eastAsia="Times New Roman" w:cs="Times New Roman"/>
                <w:color w:val="auto"/>
                <w:spacing w:val="5"/>
                <w:lang w:eastAsia="zh-CN"/>
              </w:rPr>
              <w:t>×100%</w:t>
            </w:r>
          </w:p>
        </w:tc>
        <w:tc>
          <w:tcPr>
            <w:tcW w:w="3944" w:type="dxa"/>
          </w:tcPr>
          <w:p>
            <w:pPr>
              <w:pStyle w:val="8"/>
              <w:autoSpaceDE/>
              <w:autoSpaceDN/>
              <w:spacing w:before="0" w:line="300" w:lineRule="exact"/>
              <w:ind w:left="22" w:right="10" w:hanging="3"/>
              <w:jc w:val="both"/>
              <w:rPr>
                <w:color w:val="auto"/>
                <w:lang w:eastAsia="zh-CN"/>
              </w:rPr>
            </w:pPr>
            <w:r>
              <w:rPr>
                <w:color w:val="auto"/>
                <w:spacing w:val="5"/>
                <w:lang w:eastAsia="zh-CN"/>
              </w:rPr>
              <w:t>检验报告不正确是指实验室已发出的报告，其内容与实际情况不相符，包括结果不正确、患者信息不正确、标本信息不正确等。检验报告</w:t>
            </w:r>
            <w:r>
              <w:rPr>
                <w:color w:val="auto"/>
                <w:spacing w:val="15"/>
                <w:lang w:eastAsia="zh-CN"/>
              </w:rPr>
              <w:t>不正确率是指实验室发出的不正确检验报告</w:t>
            </w:r>
            <w:r>
              <w:rPr>
                <w:color w:val="auto"/>
                <w:spacing w:val="8"/>
                <w:lang w:eastAsia="zh-CN"/>
              </w:rPr>
              <w:t>数占同期检验报告总数的比例。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269" w:type="dxa"/>
            <w:vMerge w:val="continue"/>
            <w:tcBorders>
              <w:top w:val="nil"/>
              <w:bottom w:val="nil"/>
            </w:tcBorders>
          </w:tcPr>
          <w:p>
            <w:pPr>
              <w:autoSpaceDE/>
              <w:autoSpaceDN/>
              <w:spacing w:line="300" w:lineRule="exact"/>
              <w:rPr>
                <w:color w:val="auto"/>
              </w:rPr>
            </w:pPr>
          </w:p>
        </w:tc>
        <w:tc>
          <w:tcPr>
            <w:tcW w:w="1956"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5"/>
              <w:rPr>
                <w:color w:val="auto"/>
                <w:lang w:eastAsia="zh-CN"/>
              </w:rPr>
            </w:pPr>
            <w:r>
              <w:rPr>
                <w:color w:val="auto"/>
                <w:spacing w:val="2"/>
                <w:lang w:eastAsia="zh-CN"/>
              </w:rPr>
              <w:t>（十三）危急值通报率</w:t>
            </w:r>
          </w:p>
        </w:tc>
        <w:tc>
          <w:tcPr>
            <w:tcW w:w="1814"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autoSpaceDE/>
              <w:autoSpaceDN/>
              <w:spacing w:line="300" w:lineRule="exact"/>
              <w:rPr>
                <w:color w:val="auto"/>
                <w:lang w:eastAsia="zh-CN"/>
              </w:rPr>
            </w:pPr>
          </w:p>
          <w:p>
            <w:pPr>
              <w:pStyle w:val="8"/>
              <w:autoSpaceDE/>
              <w:autoSpaceDN/>
              <w:spacing w:before="0" w:line="300" w:lineRule="exact"/>
              <w:ind w:left="24" w:right="122"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已通报的危急值检验项目数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9"/>
                <w:lang w:eastAsia="zh-CN"/>
              </w:rPr>
              <w:t>期需要通报的危急值检验项目总</w:t>
            </w:r>
            <w:r>
              <w:rPr>
                <w:color w:val="auto"/>
                <w:lang w:eastAsia="zh-CN"/>
              </w:rPr>
              <w:t>数</w:t>
            </w:r>
            <w:r>
              <w:rPr>
                <w:rFonts w:ascii="Times New Roman" w:hAnsi="Times New Roman" w:eastAsia="Times New Roman" w:cs="Times New Roman"/>
                <w:color w:val="auto"/>
                <w:lang w:eastAsia="zh-CN"/>
              </w:rPr>
              <w:t>×100%</w:t>
            </w:r>
          </w:p>
        </w:tc>
        <w:tc>
          <w:tcPr>
            <w:tcW w:w="3944" w:type="dxa"/>
          </w:tcPr>
          <w:p>
            <w:pPr>
              <w:pStyle w:val="8"/>
              <w:autoSpaceDE/>
              <w:autoSpaceDN/>
              <w:spacing w:before="0" w:line="300" w:lineRule="exact"/>
              <w:ind w:left="24" w:right="10" w:hanging="2"/>
              <w:jc w:val="both"/>
              <w:rPr>
                <w:color w:val="auto"/>
                <w:lang w:eastAsia="zh-CN"/>
              </w:rPr>
            </w:pPr>
            <w:r>
              <w:rPr>
                <w:color w:val="auto"/>
                <w:spacing w:val="15"/>
                <w:lang w:eastAsia="zh-CN"/>
              </w:rPr>
              <w:t>危急值是指除外检查仪器或试剂等技术原因出现的表明患者可能正处于生命危险的边缘</w:t>
            </w:r>
            <w:r>
              <w:rPr>
                <w:color w:val="auto"/>
                <w:spacing w:val="5"/>
                <w:lang w:eastAsia="zh-CN"/>
              </w:rPr>
              <w:t>状态，必须立刻进行记录并第一时间报告给该患者主管医师的检验结果。危急值通报率是指</w:t>
            </w:r>
            <w:r>
              <w:rPr>
                <w:color w:val="auto"/>
                <w:spacing w:val="15"/>
                <w:lang w:eastAsia="zh-CN"/>
              </w:rPr>
              <w:t>已通报的危急值检验项目数占同期需要通报</w:t>
            </w:r>
            <w:r>
              <w:rPr>
                <w:color w:val="auto"/>
                <w:spacing w:val="8"/>
                <w:lang w:eastAsia="zh-CN"/>
              </w:rPr>
              <w:t>的危急值检验项目总数的比例。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269" w:type="dxa"/>
            <w:vMerge w:val="continue"/>
            <w:tcBorders>
              <w:top w:val="nil"/>
            </w:tcBorders>
          </w:tcPr>
          <w:p>
            <w:pPr>
              <w:autoSpaceDE/>
              <w:autoSpaceDN/>
              <w:spacing w:line="300" w:lineRule="exact"/>
              <w:rPr>
                <w:color w:val="auto"/>
              </w:rPr>
            </w:pPr>
          </w:p>
        </w:tc>
        <w:tc>
          <w:tcPr>
            <w:tcW w:w="1956" w:type="dxa"/>
          </w:tcPr>
          <w:p>
            <w:pPr>
              <w:pStyle w:val="8"/>
              <w:autoSpaceDE/>
              <w:autoSpaceDN/>
              <w:spacing w:before="0" w:line="300" w:lineRule="exact"/>
              <w:ind w:left="36" w:right="13" w:hanging="21"/>
              <w:rPr>
                <w:color w:val="auto"/>
                <w:lang w:eastAsia="zh-CN"/>
              </w:rPr>
            </w:pPr>
            <w:r>
              <w:rPr>
                <w:color w:val="auto"/>
                <w:spacing w:val="2"/>
                <w:lang w:eastAsia="zh-CN"/>
              </w:rPr>
              <w:t>（十四）危急值通报及</w:t>
            </w:r>
            <w:r>
              <w:rPr>
                <w:color w:val="auto"/>
                <w:spacing w:val="-5"/>
                <w:lang w:eastAsia="zh-CN"/>
              </w:rPr>
              <w:t>时率</w:t>
            </w:r>
          </w:p>
        </w:tc>
        <w:tc>
          <w:tcPr>
            <w:tcW w:w="1814" w:type="dxa"/>
          </w:tcPr>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18" w:right="67" w:hanging="1"/>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危急值通报时间符合规定的检验项目数</w:t>
            </w:r>
            <w:r>
              <w:rPr>
                <w:rFonts w:ascii="Times New Roman" w:hAnsi="Times New Roman" w:eastAsia="Times New Roman" w:cs="Times New Roman"/>
                <w:color w:val="auto"/>
                <w:spacing w:val="9"/>
                <w:lang w:eastAsia="zh-CN"/>
              </w:rPr>
              <w:t>/</w:t>
            </w:r>
            <w:r>
              <w:rPr>
                <w:color w:val="auto"/>
                <w:spacing w:val="9"/>
                <w:lang w:eastAsia="zh-CN"/>
              </w:rPr>
              <w:t>同期需要危急值通报的</w:t>
            </w:r>
            <w:r>
              <w:rPr>
                <w:color w:val="auto"/>
                <w:spacing w:val="5"/>
                <w:lang w:eastAsia="zh-CN"/>
              </w:rPr>
              <w:t>检验项目总数</w:t>
            </w:r>
            <w:r>
              <w:rPr>
                <w:rFonts w:ascii="Times New Roman" w:hAnsi="Times New Roman" w:eastAsia="Times New Roman" w:cs="Times New Roman"/>
                <w:color w:val="auto"/>
                <w:spacing w:val="5"/>
                <w:lang w:eastAsia="zh-CN"/>
              </w:rPr>
              <w:t>×100%</w:t>
            </w:r>
          </w:p>
        </w:tc>
        <w:tc>
          <w:tcPr>
            <w:tcW w:w="3944" w:type="dxa"/>
          </w:tcPr>
          <w:p>
            <w:pPr>
              <w:pStyle w:val="8"/>
              <w:autoSpaceDE/>
              <w:autoSpaceDN/>
              <w:spacing w:before="0" w:line="300" w:lineRule="exact"/>
              <w:ind w:left="22" w:right="10"/>
              <w:jc w:val="both"/>
              <w:rPr>
                <w:color w:val="auto"/>
                <w:lang w:eastAsia="zh-CN"/>
              </w:rPr>
            </w:pPr>
            <w:r>
              <w:rPr>
                <w:color w:val="auto"/>
                <w:spacing w:val="5"/>
                <w:lang w:eastAsia="zh-CN"/>
              </w:rPr>
              <w:t>危急值通报时间（从结果确认到与临床医生交流的时间）符合规定时间的检验项目数占同期</w:t>
            </w:r>
            <w:r>
              <w:rPr>
                <w:color w:val="auto"/>
                <w:spacing w:val="8"/>
                <w:lang w:eastAsia="zh-CN"/>
              </w:rPr>
              <w:t>需要危急值通报的检验项目总数的比例。</w:t>
            </w:r>
          </w:p>
        </w:tc>
        <w:tc>
          <w:tcPr>
            <w:tcW w:w="1177" w:type="dxa"/>
          </w:tcPr>
          <w:p>
            <w:pPr>
              <w:autoSpaceDE/>
              <w:autoSpaceDN/>
              <w:spacing w:line="300" w:lineRule="exact"/>
              <w:rPr>
                <w:color w:val="auto"/>
                <w:lang w:eastAsia="zh-CN"/>
              </w:rPr>
            </w:pPr>
          </w:p>
          <w:p>
            <w:pPr>
              <w:pStyle w:val="8"/>
              <w:autoSpaceDE/>
              <w:autoSpaceDN/>
              <w:spacing w:before="0" w:line="30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269" w:type="dxa"/>
            <w:vMerge w:val="restart"/>
            <w:tcBorders>
              <w:bottom w:val="nil"/>
            </w:tcBorders>
          </w:tcPr>
          <w:p>
            <w:pPr>
              <w:pStyle w:val="8"/>
              <w:autoSpaceDE/>
              <w:autoSpaceDN/>
              <w:spacing w:before="0" w:line="300" w:lineRule="exact"/>
              <w:ind w:left="23" w:right="15" w:firstLine="13"/>
              <w:jc w:val="both"/>
              <w:rPr>
                <w:color w:val="auto"/>
                <w:lang w:eastAsia="zh-CN"/>
              </w:rPr>
            </w:pPr>
            <w:r>
              <w:rPr>
                <w:color w:val="auto"/>
                <w:spacing w:val="3"/>
                <w:lang w:eastAsia="zh-CN"/>
              </w:rPr>
              <w:t>三、医院感染</w:t>
            </w:r>
            <w:r>
              <w:rPr>
                <w:color w:val="auto"/>
                <w:spacing w:val="14"/>
                <w:lang w:eastAsia="zh-CN"/>
              </w:rPr>
              <w:t>管理医疗质量</w:t>
            </w:r>
            <w:r>
              <w:rPr>
                <w:color w:val="auto"/>
                <w:spacing w:val="7"/>
                <w:lang w:eastAsia="zh-CN"/>
              </w:rPr>
              <w:t>控制指标</w:t>
            </w:r>
          </w:p>
        </w:tc>
        <w:tc>
          <w:tcPr>
            <w:tcW w:w="1956"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5" w:right="13"/>
              <w:rPr>
                <w:color w:val="auto"/>
                <w:lang w:eastAsia="zh-CN"/>
              </w:rPr>
            </w:pPr>
            <w:r>
              <w:rPr>
                <w:color w:val="auto"/>
                <w:spacing w:val="7"/>
                <w:lang w:eastAsia="zh-CN"/>
              </w:rPr>
              <w:t>（一）医院感染发病</w:t>
            </w:r>
            <w:r>
              <w:rPr>
                <w:color w:val="auto"/>
                <w:spacing w:val="9"/>
                <w:lang w:eastAsia="zh-CN"/>
              </w:rPr>
              <w:t>（例次）率</w:t>
            </w:r>
          </w:p>
        </w:tc>
        <w:tc>
          <w:tcPr>
            <w:tcW w:w="1814"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41" w:right="152" w:hanging="2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医院感染新发病例（例次）数</w:t>
            </w:r>
            <w:r>
              <w:rPr>
                <w:rFonts w:ascii="Times New Roman" w:hAnsi="Times New Roman" w:eastAsia="Times New Roman" w:cs="Times New Roman"/>
                <w:color w:val="auto"/>
                <w:spacing w:val="8"/>
                <w:lang w:eastAsia="zh-CN"/>
              </w:rPr>
              <w:t>/</w:t>
            </w:r>
            <w:r>
              <w:rPr>
                <w:color w:val="auto"/>
                <w:spacing w:val="4"/>
                <w:lang w:eastAsia="zh-CN"/>
              </w:rPr>
              <w:t>同期住院患者总数</w:t>
            </w:r>
            <w:r>
              <w:rPr>
                <w:rFonts w:ascii="Times New Roman" w:hAnsi="Times New Roman" w:eastAsia="Times New Roman" w:cs="Times New Roman"/>
                <w:color w:val="auto"/>
                <w:spacing w:val="4"/>
                <w:lang w:eastAsia="zh-CN"/>
              </w:rPr>
              <w:t>×100%</w:t>
            </w:r>
          </w:p>
        </w:tc>
        <w:tc>
          <w:tcPr>
            <w:tcW w:w="3944" w:type="dxa"/>
          </w:tcPr>
          <w:p>
            <w:pPr>
              <w:pStyle w:val="8"/>
              <w:autoSpaceDE/>
              <w:autoSpaceDN/>
              <w:spacing w:before="0" w:line="300" w:lineRule="exact"/>
              <w:ind w:left="16" w:firstLine="29"/>
              <w:jc w:val="both"/>
              <w:rPr>
                <w:color w:val="auto"/>
                <w:lang w:eastAsia="zh-CN"/>
              </w:rPr>
            </w:pPr>
            <w:r>
              <w:rPr>
                <w:color w:val="auto"/>
                <w:spacing w:val="13"/>
                <w:lang w:eastAsia="zh-CN"/>
              </w:rPr>
              <w:t>医院感染新发病例是指观察期间发生的医院</w:t>
            </w:r>
            <w:r>
              <w:rPr>
                <w:color w:val="auto"/>
                <w:spacing w:val="4"/>
                <w:lang w:eastAsia="zh-CN"/>
              </w:rPr>
              <w:t>感染病例，即观察开始时没有发生医院感染，</w:t>
            </w:r>
            <w:r>
              <w:rPr>
                <w:color w:val="auto"/>
                <w:spacing w:val="6"/>
                <w:lang w:eastAsia="zh-CN"/>
              </w:rPr>
              <w:t>观察开始后直至结束时发生的医院感染病例，</w:t>
            </w:r>
            <w:r>
              <w:rPr>
                <w:color w:val="auto"/>
                <w:spacing w:val="4"/>
                <w:lang w:eastAsia="zh-CN"/>
              </w:rPr>
              <w:t>包括观察开始时已发生医院感染，在观察期间</w:t>
            </w:r>
            <w:r>
              <w:rPr>
                <w:color w:val="auto"/>
                <w:spacing w:val="11"/>
                <w:lang w:eastAsia="zh-CN"/>
              </w:rPr>
              <w:t>又发生新的医院感染的病例。医院感染发病</w:t>
            </w:r>
            <w:r>
              <w:rPr>
                <w:color w:val="auto"/>
                <w:spacing w:val="4"/>
                <w:lang w:eastAsia="zh-CN"/>
              </w:rPr>
              <w:t>（例次）率是指住院患者中发生医院感染新发</w:t>
            </w:r>
            <w:r>
              <w:rPr>
                <w:color w:val="auto"/>
                <w:spacing w:val="7"/>
                <w:lang w:eastAsia="zh-CN"/>
              </w:rPr>
              <w:t>病例（例次）的比例。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69" w:type="dxa"/>
            <w:vMerge w:val="continue"/>
            <w:tcBorders>
              <w:top w:val="nil"/>
              <w:bottom w:val="nil"/>
            </w:tcBorders>
          </w:tcPr>
          <w:p>
            <w:pPr>
              <w:autoSpaceDE/>
              <w:autoSpaceDN/>
              <w:spacing w:line="300" w:lineRule="exact"/>
              <w:rPr>
                <w:color w:val="auto"/>
              </w:rPr>
            </w:pPr>
          </w:p>
        </w:tc>
        <w:tc>
          <w:tcPr>
            <w:tcW w:w="1956" w:type="dxa"/>
          </w:tcPr>
          <w:p>
            <w:pPr>
              <w:pStyle w:val="8"/>
              <w:autoSpaceDE/>
              <w:autoSpaceDN/>
              <w:spacing w:before="0" w:line="300" w:lineRule="exact"/>
              <w:ind w:left="15" w:right="13"/>
              <w:rPr>
                <w:color w:val="auto"/>
                <w:lang w:eastAsia="zh-CN"/>
              </w:rPr>
            </w:pPr>
            <w:r>
              <w:rPr>
                <w:color w:val="auto"/>
                <w:spacing w:val="7"/>
                <w:lang w:eastAsia="zh-CN"/>
              </w:rPr>
              <w:t>（二）医院感染现患</w:t>
            </w:r>
            <w:r>
              <w:rPr>
                <w:color w:val="auto"/>
                <w:spacing w:val="9"/>
                <w:lang w:eastAsia="zh-CN"/>
              </w:rPr>
              <w:t>（例次）率</w:t>
            </w:r>
          </w:p>
        </w:tc>
        <w:tc>
          <w:tcPr>
            <w:tcW w:w="1814" w:type="dxa"/>
          </w:tcPr>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32" w:right="67"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确定时段或时点住院患者中医</w:t>
            </w:r>
            <w:r>
              <w:rPr>
                <w:color w:val="auto"/>
                <w:spacing w:val="8"/>
                <w:lang w:eastAsia="zh-CN"/>
              </w:rPr>
              <w:t>院感染患者（例次）数</w:t>
            </w:r>
            <w:r>
              <w:rPr>
                <w:rFonts w:ascii="Times New Roman" w:hAnsi="Times New Roman" w:eastAsia="Times New Roman" w:cs="Times New Roman"/>
                <w:color w:val="auto"/>
                <w:spacing w:val="8"/>
                <w:lang w:eastAsia="zh-CN"/>
              </w:rPr>
              <w:t>/</w:t>
            </w:r>
            <w:r>
              <w:rPr>
                <w:color w:val="auto"/>
                <w:spacing w:val="8"/>
                <w:lang w:eastAsia="zh-CN"/>
              </w:rPr>
              <w:t>同期住院</w:t>
            </w:r>
            <w:r>
              <w:rPr>
                <w:color w:val="auto"/>
                <w:spacing w:val="2"/>
                <w:lang w:eastAsia="zh-CN"/>
              </w:rPr>
              <w:t>患者总数</w:t>
            </w:r>
            <w:r>
              <w:rPr>
                <w:rFonts w:ascii="Times New Roman" w:hAnsi="Times New Roman" w:eastAsia="Times New Roman" w:cs="Times New Roman"/>
                <w:color w:val="auto"/>
                <w:spacing w:val="2"/>
                <w:lang w:eastAsia="zh-CN"/>
              </w:rPr>
              <w:t>×100%</w:t>
            </w:r>
          </w:p>
        </w:tc>
        <w:tc>
          <w:tcPr>
            <w:tcW w:w="3944" w:type="dxa"/>
          </w:tcPr>
          <w:p>
            <w:pPr>
              <w:pStyle w:val="8"/>
              <w:autoSpaceDE/>
              <w:autoSpaceDN/>
              <w:spacing w:before="0" w:line="300" w:lineRule="exact"/>
              <w:ind w:left="19" w:right="10" w:firstLine="4"/>
              <w:rPr>
                <w:color w:val="auto"/>
                <w:lang w:eastAsia="zh-CN"/>
              </w:rPr>
            </w:pPr>
            <w:r>
              <w:rPr>
                <w:color w:val="auto"/>
                <w:spacing w:val="12"/>
                <w:lang w:eastAsia="zh-CN"/>
              </w:rPr>
              <w:t>确定时段或时点住院患者中，医院感染患者</w:t>
            </w:r>
            <w:r>
              <w:rPr>
                <w:color w:val="auto"/>
                <w:spacing w:val="9"/>
                <w:lang w:eastAsia="zh-CN"/>
              </w:rPr>
              <w:t>（例次）数占同期住院患者总数的比例。</w:t>
            </w:r>
          </w:p>
        </w:tc>
        <w:tc>
          <w:tcPr>
            <w:tcW w:w="1177" w:type="dxa"/>
          </w:tcPr>
          <w:p>
            <w:pPr>
              <w:autoSpaceDE/>
              <w:autoSpaceDN/>
              <w:spacing w:line="300" w:lineRule="exact"/>
              <w:rPr>
                <w:color w:val="auto"/>
                <w:lang w:eastAsia="zh-CN"/>
              </w:rPr>
            </w:pPr>
          </w:p>
          <w:p>
            <w:pPr>
              <w:pStyle w:val="8"/>
              <w:autoSpaceDE/>
              <w:autoSpaceDN/>
              <w:spacing w:before="0" w:line="30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269" w:type="dxa"/>
            <w:vMerge w:val="continue"/>
            <w:tcBorders>
              <w:top w:val="nil"/>
              <w:bottom w:val="nil"/>
            </w:tcBorders>
          </w:tcPr>
          <w:p>
            <w:pPr>
              <w:autoSpaceDE/>
              <w:autoSpaceDN/>
              <w:spacing w:line="300" w:lineRule="exact"/>
              <w:rPr>
                <w:color w:val="auto"/>
              </w:rPr>
            </w:pPr>
          </w:p>
        </w:tc>
        <w:tc>
          <w:tcPr>
            <w:tcW w:w="1956" w:type="dxa"/>
          </w:tcPr>
          <w:p>
            <w:pPr>
              <w:pStyle w:val="8"/>
              <w:autoSpaceDE/>
              <w:autoSpaceDN/>
              <w:spacing w:before="0" w:line="300" w:lineRule="exact"/>
              <w:ind w:left="24" w:right="13" w:hanging="9"/>
              <w:rPr>
                <w:color w:val="auto"/>
                <w:lang w:eastAsia="zh-CN"/>
              </w:rPr>
            </w:pPr>
            <w:r>
              <w:rPr>
                <w:color w:val="auto"/>
                <w:spacing w:val="2"/>
                <w:lang w:eastAsia="zh-CN"/>
              </w:rPr>
              <w:t>（三）医院感染病例漏报率</w:t>
            </w:r>
          </w:p>
        </w:tc>
        <w:tc>
          <w:tcPr>
            <w:tcW w:w="1814" w:type="dxa"/>
          </w:tcPr>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22" w:right="67"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应当报告而未报告的医院感染</w:t>
            </w:r>
            <w:r>
              <w:rPr>
                <w:color w:val="auto"/>
                <w:spacing w:val="8"/>
                <w:lang w:eastAsia="zh-CN"/>
              </w:rPr>
              <w:t>病例数</w:t>
            </w:r>
            <w:r>
              <w:rPr>
                <w:rFonts w:ascii="Times New Roman" w:hAnsi="Times New Roman" w:eastAsia="Times New Roman" w:cs="Times New Roman"/>
                <w:color w:val="auto"/>
                <w:spacing w:val="8"/>
                <w:lang w:eastAsia="zh-CN"/>
              </w:rPr>
              <w:t>/</w:t>
            </w:r>
            <w:r>
              <w:rPr>
                <w:color w:val="auto"/>
                <w:spacing w:val="8"/>
                <w:lang w:eastAsia="zh-CN"/>
              </w:rPr>
              <w:t>同期应报告医院感染病例</w:t>
            </w:r>
            <w:r>
              <w:rPr>
                <w:color w:val="auto"/>
                <w:spacing w:val="1"/>
                <w:lang w:eastAsia="zh-CN"/>
              </w:rPr>
              <w:t>总数</w:t>
            </w:r>
            <w:r>
              <w:rPr>
                <w:rFonts w:ascii="Times New Roman" w:hAnsi="Times New Roman" w:eastAsia="Times New Roman" w:cs="Times New Roman"/>
                <w:color w:val="auto"/>
                <w:spacing w:val="1"/>
                <w:lang w:eastAsia="zh-CN"/>
              </w:rPr>
              <w:t>×100%</w:t>
            </w:r>
          </w:p>
        </w:tc>
        <w:tc>
          <w:tcPr>
            <w:tcW w:w="3944" w:type="dxa"/>
          </w:tcPr>
          <w:p>
            <w:pPr>
              <w:pStyle w:val="8"/>
              <w:autoSpaceDE/>
              <w:autoSpaceDN/>
              <w:spacing w:before="0" w:line="300" w:lineRule="exact"/>
              <w:ind w:left="27" w:right="10"/>
              <w:rPr>
                <w:color w:val="auto"/>
                <w:lang w:eastAsia="zh-CN"/>
              </w:rPr>
            </w:pPr>
            <w:r>
              <w:rPr>
                <w:color w:val="auto"/>
                <w:spacing w:val="15"/>
                <w:lang w:eastAsia="zh-CN"/>
              </w:rPr>
              <w:t>应当报告而未报告的医院感染病例数占同期</w:t>
            </w:r>
            <w:r>
              <w:rPr>
                <w:color w:val="auto"/>
                <w:spacing w:val="8"/>
                <w:lang w:eastAsia="zh-CN"/>
              </w:rPr>
              <w:t>应报告医院感染病例总数的比例。</w:t>
            </w:r>
          </w:p>
        </w:tc>
        <w:tc>
          <w:tcPr>
            <w:tcW w:w="1177" w:type="dxa"/>
          </w:tcPr>
          <w:p>
            <w:pPr>
              <w:autoSpaceDE/>
              <w:autoSpaceDN/>
              <w:spacing w:line="300" w:lineRule="exact"/>
              <w:rPr>
                <w:color w:val="auto"/>
                <w:lang w:eastAsia="zh-CN"/>
              </w:rPr>
            </w:pPr>
          </w:p>
          <w:p>
            <w:pPr>
              <w:pStyle w:val="8"/>
              <w:autoSpaceDE/>
              <w:autoSpaceDN/>
              <w:spacing w:before="0" w:line="300" w:lineRule="exact"/>
              <w:ind w:left="190"/>
              <w:rPr>
                <w:color w:val="auto"/>
              </w:rPr>
            </w:pPr>
            <w:r>
              <w:rPr>
                <w:color w:val="auto"/>
                <w:spacing w:val="8"/>
              </w:rPr>
              <w:t>逐步降低</w:t>
            </w:r>
          </w:p>
        </w:tc>
      </w:tr>
    </w:tbl>
    <w:p>
      <w:pPr>
        <w:autoSpaceDE/>
        <w:autoSpaceDN/>
        <w:spacing w:before="0" w:line="30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autoSpaceDE/>
              <w:autoSpaceDN/>
              <w:spacing w:before="0" w:line="30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autoSpaceDE/>
              <w:autoSpaceDN/>
              <w:spacing w:before="0" w:line="30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autoSpaceDE/>
              <w:autoSpaceDN/>
              <w:spacing w:before="0" w:line="30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autoSpaceDE/>
              <w:autoSpaceDN/>
              <w:spacing w:before="0" w:line="30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autoSpaceDE/>
              <w:autoSpaceDN/>
              <w:spacing w:before="0" w:line="30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autoSpaceDE/>
              <w:autoSpaceDN/>
              <w:spacing w:before="0" w:line="30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autoSpaceDE/>
              <w:autoSpaceDN/>
              <w:spacing w:before="0" w:line="30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0" w:hRule="atLeast"/>
        </w:trPr>
        <w:tc>
          <w:tcPr>
            <w:tcW w:w="1269" w:type="dxa"/>
            <w:vMerge w:val="restart"/>
            <w:tcBorders>
              <w:bottom w:val="nil"/>
            </w:tcBorders>
          </w:tcPr>
          <w:p>
            <w:pPr>
              <w:autoSpaceDE/>
              <w:autoSpaceDN/>
              <w:spacing w:line="300" w:lineRule="exact"/>
              <w:rPr>
                <w:color w:val="auto"/>
              </w:rPr>
            </w:pPr>
          </w:p>
        </w:tc>
        <w:tc>
          <w:tcPr>
            <w:tcW w:w="1956" w:type="dxa"/>
          </w:tcPr>
          <w:p>
            <w:pPr>
              <w:pStyle w:val="8"/>
              <w:autoSpaceDE/>
              <w:autoSpaceDN/>
              <w:spacing w:before="0" w:line="300" w:lineRule="exact"/>
              <w:ind w:left="18" w:right="13" w:hanging="3"/>
              <w:rPr>
                <w:color w:val="auto"/>
                <w:lang w:eastAsia="zh-CN"/>
              </w:rPr>
            </w:pPr>
            <w:r>
              <w:rPr>
                <w:color w:val="auto"/>
                <w:spacing w:val="2"/>
                <w:lang w:eastAsia="zh-CN"/>
              </w:rPr>
              <w:t>（四）多重耐药菌感染</w:t>
            </w:r>
            <w:r>
              <w:rPr>
                <w:color w:val="auto"/>
                <w:spacing w:val="7"/>
                <w:lang w:eastAsia="zh-CN"/>
              </w:rPr>
              <w:t>发现率</w:t>
            </w:r>
          </w:p>
        </w:tc>
        <w:tc>
          <w:tcPr>
            <w:tcW w:w="1814"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26" w:right="211"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多重耐药菌感染患者数（例次</w:t>
            </w:r>
            <w:r>
              <w:rPr>
                <w:color w:val="auto"/>
                <w:spacing w:val="5"/>
                <w:lang w:eastAsia="zh-CN"/>
              </w:rPr>
              <w:t>数）</w:t>
            </w:r>
            <w:r>
              <w:rPr>
                <w:rFonts w:ascii="Times New Roman" w:hAnsi="Times New Roman" w:eastAsia="Times New Roman" w:cs="Times New Roman"/>
                <w:color w:val="auto"/>
                <w:spacing w:val="5"/>
                <w:lang w:eastAsia="zh-CN"/>
              </w:rPr>
              <w:t>/</w:t>
            </w:r>
            <w:r>
              <w:rPr>
                <w:color w:val="auto"/>
                <w:spacing w:val="5"/>
                <w:lang w:eastAsia="zh-CN"/>
              </w:rPr>
              <w:t>同期住院患者总数</w:t>
            </w:r>
            <w:r>
              <w:rPr>
                <w:rFonts w:ascii="Times New Roman" w:hAnsi="Times New Roman" w:eastAsia="Times New Roman" w:cs="Times New Roman"/>
                <w:color w:val="auto"/>
                <w:spacing w:val="5"/>
                <w:lang w:eastAsia="zh-CN"/>
              </w:rPr>
              <w:t>×100%</w:t>
            </w:r>
          </w:p>
        </w:tc>
        <w:tc>
          <w:tcPr>
            <w:tcW w:w="3944" w:type="dxa"/>
          </w:tcPr>
          <w:p>
            <w:pPr>
              <w:pStyle w:val="8"/>
              <w:autoSpaceDE/>
              <w:autoSpaceDN/>
              <w:spacing w:before="0" w:line="300" w:lineRule="exact"/>
              <w:ind w:left="18" w:right="5" w:firstLine="13"/>
              <w:jc w:val="both"/>
              <w:rPr>
                <w:color w:val="auto"/>
                <w:lang w:eastAsia="zh-CN"/>
              </w:rPr>
            </w:pPr>
            <w:r>
              <w:rPr>
                <w:color w:val="auto"/>
                <w:spacing w:val="4"/>
                <w:lang w:eastAsia="zh-CN"/>
              </w:rPr>
              <w:t>多重耐药菌主要包括：碳青霉烯类肠杆菌科细</w:t>
            </w:r>
            <w:r>
              <w:rPr>
                <w:color w:val="auto"/>
                <w:spacing w:val="23"/>
                <w:lang w:eastAsia="zh-CN"/>
              </w:rPr>
              <w:t>菌（</w:t>
            </w:r>
            <w:r>
              <w:rPr>
                <w:rFonts w:ascii="Times New Roman" w:hAnsi="Times New Roman" w:eastAsia="Times New Roman" w:cs="Times New Roman"/>
                <w:color w:val="auto"/>
                <w:lang w:eastAsia="zh-CN"/>
              </w:rPr>
              <w:t>CRE</w:t>
            </w:r>
            <w:r>
              <w:rPr>
                <w:color w:val="auto"/>
                <w:spacing w:val="23"/>
                <w:lang w:eastAsia="zh-CN"/>
              </w:rPr>
              <w:t>）、耐甲氧西林金黄色葡萄球菌</w:t>
            </w:r>
            <w:r>
              <w:rPr>
                <w:color w:val="auto"/>
                <w:spacing w:val="9"/>
                <w:lang w:eastAsia="zh-CN"/>
              </w:rPr>
              <w:t>（</w:t>
            </w:r>
            <w:r>
              <w:rPr>
                <w:rFonts w:ascii="Times New Roman" w:hAnsi="Times New Roman" w:eastAsia="Times New Roman" w:cs="Times New Roman"/>
                <w:color w:val="auto"/>
                <w:lang w:eastAsia="zh-CN"/>
              </w:rPr>
              <w:t>MRSA</w:t>
            </w:r>
            <w:r>
              <w:rPr>
                <w:color w:val="auto"/>
                <w:spacing w:val="9"/>
                <w:lang w:eastAsia="zh-CN"/>
              </w:rPr>
              <w:t>）、耐万古霉素肠球菌（</w:t>
            </w:r>
            <w:r>
              <w:rPr>
                <w:rFonts w:ascii="Times New Roman" w:hAnsi="Times New Roman" w:eastAsia="Times New Roman" w:cs="Times New Roman"/>
                <w:color w:val="auto"/>
                <w:lang w:eastAsia="zh-CN"/>
              </w:rPr>
              <w:t>VRE</w:t>
            </w:r>
            <w:r>
              <w:rPr>
                <w:color w:val="auto"/>
                <w:spacing w:val="9"/>
                <w:lang w:eastAsia="zh-CN"/>
              </w:rPr>
              <w:t>）、耐</w:t>
            </w:r>
            <w:r>
              <w:rPr>
                <w:color w:val="auto"/>
                <w:spacing w:val="11"/>
                <w:lang w:eastAsia="zh-CN"/>
              </w:rPr>
              <w:t>碳青霉烯鲍曼不动杆菌（</w:t>
            </w:r>
            <w:r>
              <w:rPr>
                <w:rFonts w:ascii="Times New Roman" w:hAnsi="Times New Roman" w:eastAsia="Times New Roman" w:cs="Times New Roman"/>
                <w:color w:val="auto"/>
                <w:lang w:eastAsia="zh-CN"/>
              </w:rPr>
              <w:t>CRABA</w:t>
            </w:r>
            <w:r>
              <w:rPr>
                <w:color w:val="auto"/>
                <w:spacing w:val="11"/>
                <w:lang w:eastAsia="zh-CN"/>
              </w:rPr>
              <w:t>）、耐碳青</w:t>
            </w:r>
            <w:r>
              <w:rPr>
                <w:color w:val="auto"/>
                <w:spacing w:val="13"/>
                <w:lang w:eastAsia="zh-CN"/>
              </w:rPr>
              <w:t>霉烯铜绿假单胞菌（</w:t>
            </w:r>
            <w:r>
              <w:rPr>
                <w:rFonts w:ascii="Times New Roman" w:hAnsi="Times New Roman" w:eastAsia="Times New Roman" w:cs="Times New Roman"/>
                <w:color w:val="auto"/>
                <w:lang w:eastAsia="zh-CN"/>
              </w:rPr>
              <w:t>CRPAE</w:t>
            </w:r>
            <w:r>
              <w:rPr>
                <w:color w:val="auto"/>
                <w:spacing w:val="13"/>
                <w:lang w:eastAsia="zh-CN"/>
              </w:rPr>
              <w:t>）。多重耐药菌</w:t>
            </w:r>
            <w:r>
              <w:rPr>
                <w:color w:val="auto"/>
                <w:spacing w:val="5"/>
                <w:lang w:eastAsia="zh-CN"/>
              </w:rPr>
              <w:t>感染发现率是指多重耐药菌感染患者数（例次</w:t>
            </w:r>
            <w:r>
              <w:rPr>
                <w:color w:val="auto"/>
                <w:spacing w:val="8"/>
                <w:lang w:eastAsia="zh-CN"/>
              </w:rPr>
              <w:t>数）与同期住院患者总数的比例。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1269" w:type="dxa"/>
            <w:vMerge w:val="continue"/>
            <w:tcBorders>
              <w:top w:val="nil"/>
              <w:bottom w:val="nil"/>
            </w:tcBorders>
          </w:tcPr>
          <w:p>
            <w:pPr>
              <w:autoSpaceDE/>
              <w:autoSpaceDN/>
              <w:spacing w:line="300" w:lineRule="exact"/>
              <w:rPr>
                <w:color w:val="auto"/>
              </w:rPr>
            </w:pPr>
          </w:p>
        </w:tc>
        <w:tc>
          <w:tcPr>
            <w:tcW w:w="1956" w:type="dxa"/>
          </w:tcPr>
          <w:p>
            <w:pPr>
              <w:pStyle w:val="8"/>
              <w:autoSpaceDE/>
              <w:autoSpaceDN/>
              <w:spacing w:before="0" w:line="300" w:lineRule="exact"/>
              <w:ind w:left="15" w:right="13"/>
              <w:rPr>
                <w:color w:val="auto"/>
                <w:lang w:eastAsia="zh-CN"/>
              </w:rPr>
            </w:pPr>
            <w:r>
              <w:rPr>
                <w:color w:val="auto"/>
                <w:spacing w:val="2"/>
                <w:lang w:eastAsia="zh-CN"/>
              </w:rPr>
              <w:t>（五）多重耐药菌感染</w:t>
            </w:r>
            <w:r>
              <w:rPr>
                <w:color w:val="auto"/>
                <w:spacing w:val="8"/>
                <w:lang w:eastAsia="zh-CN"/>
              </w:rPr>
              <w:t>检出率</w:t>
            </w:r>
          </w:p>
        </w:tc>
        <w:tc>
          <w:tcPr>
            <w:tcW w:w="1814" w:type="dxa"/>
          </w:tcPr>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22" w:right="153"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多重耐药菌检出菌株数</w:t>
            </w:r>
            <w:r>
              <w:rPr>
                <w:rFonts w:ascii="Times New Roman" w:hAnsi="Times New Roman" w:eastAsia="Times New Roman" w:cs="Times New Roman"/>
                <w:color w:val="auto"/>
                <w:spacing w:val="8"/>
                <w:lang w:eastAsia="zh-CN"/>
              </w:rPr>
              <w:t>/</w:t>
            </w:r>
            <w:r>
              <w:rPr>
                <w:color w:val="auto"/>
                <w:spacing w:val="8"/>
                <w:lang w:eastAsia="zh-CN"/>
              </w:rPr>
              <w:t>同期该</w:t>
            </w:r>
            <w:r>
              <w:rPr>
                <w:color w:val="auto"/>
                <w:spacing w:val="6"/>
                <w:lang w:eastAsia="zh-CN"/>
              </w:rPr>
              <w:t>病原体检出菌株总数</w:t>
            </w:r>
            <w:r>
              <w:rPr>
                <w:rFonts w:ascii="Times New Roman" w:hAnsi="Times New Roman" w:eastAsia="Times New Roman" w:cs="Times New Roman"/>
                <w:color w:val="auto"/>
                <w:spacing w:val="6"/>
                <w:lang w:eastAsia="zh-CN"/>
              </w:rPr>
              <w:t>×100%</w:t>
            </w:r>
          </w:p>
        </w:tc>
        <w:tc>
          <w:tcPr>
            <w:tcW w:w="3944" w:type="dxa"/>
          </w:tcPr>
          <w:p>
            <w:pPr>
              <w:pStyle w:val="8"/>
              <w:autoSpaceDE/>
              <w:autoSpaceDN/>
              <w:spacing w:before="0" w:line="300" w:lineRule="exact"/>
              <w:ind w:left="27" w:right="10" w:firstLine="5"/>
              <w:rPr>
                <w:color w:val="auto"/>
                <w:lang w:eastAsia="zh-CN"/>
              </w:rPr>
            </w:pPr>
            <w:r>
              <w:rPr>
                <w:color w:val="auto"/>
                <w:spacing w:val="15"/>
                <w:lang w:eastAsia="zh-CN"/>
              </w:rPr>
              <w:t>多重耐药菌检出菌株数与同期该病原体检出</w:t>
            </w:r>
            <w:r>
              <w:rPr>
                <w:color w:val="auto"/>
                <w:spacing w:val="7"/>
                <w:lang w:eastAsia="zh-CN"/>
              </w:rPr>
              <w:t>菌株总数的比例。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1269" w:type="dxa"/>
            <w:vMerge w:val="continue"/>
            <w:tcBorders>
              <w:top w:val="nil"/>
              <w:bottom w:val="nil"/>
            </w:tcBorders>
          </w:tcPr>
          <w:p>
            <w:pPr>
              <w:autoSpaceDE/>
              <w:autoSpaceDN/>
              <w:spacing w:line="300" w:lineRule="exact"/>
              <w:rPr>
                <w:color w:val="auto"/>
              </w:rPr>
            </w:pPr>
          </w:p>
        </w:tc>
        <w:tc>
          <w:tcPr>
            <w:tcW w:w="1956" w:type="dxa"/>
          </w:tcPr>
          <w:p>
            <w:pPr>
              <w:pStyle w:val="8"/>
              <w:autoSpaceDE/>
              <w:autoSpaceDN/>
              <w:spacing w:before="0" w:line="300" w:lineRule="exact"/>
              <w:ind w:left="15" w:right="13"/>
              <w:rPr>
                <w:color w:val="auto"/>
                <w:lang w:eastAsia="zh-CN"/>
              </w:rPr>
            </w:pPr>
            <w:r>
              <w:rPr>
                <w:color w:val="auto"/>
                <w:spacing w:val="2"/>
                <w:lang w:eastAsia="zh-CN"/>
              </w:rPr>
              <w:t>（六）医务人员手卫生</w:t>
            </w:r>
            <w:r>
              <w:rPr>
                <w:color w:val="auto"/>
                <w:spacing w:val="8"/>
                <w:lang w:eastAsia="zh-CN"/>
              </w:rPr>
              <w:t>依从率</w:t>
            </w:r>
          </w:p>
        </w:tc>
        <w:tc>
          <w:tcPr>
            <w:tcW w:w="1814" w:type="dxa"/>
          </w:tcPr>
          <w:p>
            <w:pPr>
              <w:autoSpaceDE/>
              <w:autoSpaceDN/>
              <w:spacing w:line="300" w:lineRule="exact"/>
              <w:rPr>
                <w:color w:val="auto"/>
                <w:lang w:eastAsia="zh-CN"/>
              </w:rPr>
            </w:pPr>
          </w:p>
          <w:p>
            <w:pPr>
              <w:pStyle w:val="8"/>
              <w:autoSpaceDE/>
              <w:autoSpaceDN/>
              <w:spacing w:before="0" w:line="300" w:lineRule="exact"/>
              <w:ind w:left="27" w:right="12" w:hanging="7"/>
              <w:rPr>
                <w:color w:val="auto"/>
                <w:lang w:eastAsia="zh-CN"/>
              </w:rPr>
            </w:pPr>
            <w:r>
              <w:rPr>
                <w:color w:val="auto"/>
                <w:spacing w:val="7"/>
                <w:lang w:eastAsia="zh-CN"/>
              </w:rPr>
              <w:t>定量指标，连续监测类指标，必填指标</w:t>
            </w:r>
          </w:p>
        </w:tc>
        <w:tc>
          <w:tcPr>
            <w:tcW w:w="960" w:type="dxa"/>
          </w:tcPr>
          <w:p>
            <w:pPr>
              <w:autoSpaceDE/>
              <w:autoSpaceDN/>
              <w:spacing w:line="300" w:lineRule="exact"/>
              <w:rPr>
                <w:color w:val="auto"/>
                <w:lang w:eastAsia="zh-CN"/>
              </w:rPr>
            </w:pPr>
          </w:p>
          <w:p>
            <w:pPr>
              <w:pStyle w:val="8"/>
              <w:autoSpaceDE/>
              <w:autoSpaceDN/>
              <w:spacing w:before="0" w:line="30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autoSpaceDE/>
              <w:autoSpaceDN/>
              <w:spacing w:before="0" w:line="300" w:lineRule="exact"/>
              <w:ind w:left="26" w:right="67"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受调查的医务人员实际实施手</w:t>
            </w:r>
            <w:r>
              <w:rPr>
                <w:color w:val="auto"/>
                <w:spacing w:val="8"/>
                <w:lang w:eastAsia="zh-CN"/>
              </w:rPr>
              <w:t>卫生次数</w:t>
            </w:r>
            <w:r>
              <w:rPr>
                <w:rFonts w:ascii="Times New Roman" w:hAnsi="Times New Roman" w:eastAsia="Times New Roman" w:cs="Times New Roman"/>
                <w:color w:val="auto"/>
                <w:spacing w:val="8"/>
                <w:lang w:eastAsia="zh-CN"/>
              </w:rPr>
              <w:t>/</w:t>
            </w:r>
            <w:r>
              <w:rPr>
                <w:color w:val="auto"/>
                <w:spacing w:val="8"/>
                <w:lang w:eastAsia="zh-CN"/>
              </w:rPr>
              <w:t>同期调查中应实施手卫</w:t>
            </w:r>
            <w:r>
              <w:rPr>
                <w:color w:val="auto"/>
                <w:spacing w:val="2"/>
                <w:lang w:eastAsia="zh-CN"/>
              </w:rPr>
              <w:t>生次数</w:t>
            </w:r>
            <w:r>
              <w:rPr>
                <w:rFonts w:ascii="Times New Roman" w:hAnsi="Times New Roman" w:eastAsia="Times New Roman" w:cs="Times New Roman"/>
                <w:color w:val="auto"/>
                <w:spacing w:val="2"/>
                <w:lang w:eastAsia="zh-CN"/>
              </w:rPr>
              <w:t>×100%</w:t>
            </w:r>
          </w:p>
        </w:tc>
        <w:tc>
          <w:tcPr>
            <w:tcW w:w="3944" w:type="dxa"/>
          </w:tcPr>
          <w:p>
            <w:pPr>
              <w:pStyle w:val="8"/>
              <w:autoSpaceDE/>
              <w:autoSpaceDN/>
              <w:spacing w:before="0" w:line="300" w:lineRule="exact"/>
              <w:ind w:left="25" w:right="10" w:firstLine="5"/>
              <w:rPr>
                <w:color w:val="auto"/>
                <w:lang w:eastAsia="zh-CN"/>
              </w:rPr>
            </w:pPr>
            <w:r>
              <w:rPr>
                <w:color w:val="auto"/>
                <w:spacing w:val="15"/>
                <w:lang w:eastAsia="zh-CN"/>
              </w:rPr>
              <w:t>受调查的医务人员实际实施手卫生次数占同</w:t>
            </w:r>
            <w:r>
              <w:rPr>
                <w:color w:val="auto"/>
                <w:spacing w:val="8"/>
                <w:lang w:eastAsia="zh-CN"/>
              </w:rPr>
              <w:t>期调查中应实施手卫生次数的比例。</w:t>
            </w:r>
          </w:p>
        </w:tc>
        <w:tc>
          <w:tcPr>
            <w:tcW w:w="1177" w:type="dxa"/>
          </w:tcPr>
          <w:p>
            <w:pPr>
              <w:autoSpaceDE/>
              <w:autoSpaceDN/>
              <w:spacing w:line="300" w:lineRule="exact"/>
              <w:rPr>
                <w:color w:val="auto"/>
                <w:lang w:eastAsia="zh-CN"/>
              </w:rPr>
            </w:pPr>
          </w:p>
          <w:p>
            <w:pPr>
              <w:autoSpaceDE/>
              <w:autoSpaceDN/>
              <w:spacing w:line="300" w:lineRule="exact"/>
              <w:rPr>
                <w:color w:val="auto"/>
                <w:lang w:eastAsia="zh-CN"/>
              </w:rPr>
            </w:pPr>
          </w:p>
          <w:p>
            <w:pPr>
              <w:pStyle w:val="8"/>
              <w:autoSpaceDE/>
              <w:autoSpaceDN/>
              <w:spacing w:before="0" w:line="300" w:lineRule="exact"/>
              <w:ind w:left="200"/>
              <w:rPr>
                <w:color w:val="auto"/>
              </w:rPr>
            </w:pPr>
            <w:r>
              <w:rPr>
                <w:color w:val="auto"/>
                <w:spacing w:val="6"/>
              </w:rPr>
              <w:t>监测比较</w:t>
            </w:r>
          </w:p>
        </w:tc>
      </w:tr>
    </w:tbl>
    <w:p>
      <w:pPr>
        <w:spacing w:line="240" w:lineRule="exact"/>
        <w:rPr>
          <w:color w:val="auto"/>
        </w:rPr>
      </w:pPr>
    </w:p>
    <w:p>
      <w:pPr>
        <w:spacing w:line="240" w:lineRule="exact"/>
        <w:rPr>
          <w:color w:val="auto"/>
        </w:rPr>
        <w:sectPr>
          <w:footerReference r:id="rId32"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restart"/>
            <w:tcBorders>
              <w:bottom w:val="nil"/>
            </w:tcBorders>
          </w:tcPr>
          <w:p>
            <w:pPr>
              <w:spacing w:line="240" w:lineRule="exact"/>
              <w:rPr>
                <w:color w:val="auto"/>
              </w:rPr>
            </w:pPr>
          </w:p>
        </w:tc>
        <w:tc>
          <w:tcPr>
            <w:tcW w:w="1956" w:type="dxa"/>
          </w:tcPr>
          <w:p>
            <w:pPr>
              <w:pStyle w:val="8"/>
              <w:spacing w:before="0" w:line="240" w:lineRule="exact"/>
              <w:ind w:left="19" w:right="13" w:hanging="4"/>
              <w:rPr>
                <w:color w:val="auto"/>
                <w:lang w:eastAsia="zh-CN"/>
              </w:rPr>
            </w:pPr>
            <w:r>
              <w:rPr>
                <w:color w:val="auto"/>
                <w:spacing w:val="2"/>
                <w:lang w:eastAsia="zh-CN"/>
              </w:rPr>
              <w:t>（七）抗菌药物治疗前</w:t>
            </w:r>
            <w:r>
              <w:rPr>
                <w:color w:val="auto"/>
                <w:spacing w:val="8"/>
                <w:lang w:eastAsia="zh-CN"/>
              </w:rPr>
              <w:t>病原学送检率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使用抗菌药物前病原学检验标</w:t>
            </w:r>
            <w:r>
              <w:rPr>
                <w:color w:val="auto"/>
                <w:spacing w:val="8"/>
                <w:lang w:eastAsia="zh-CN"/>
              </w:rPr>
              <w:t>本送检病例数</w:t>
            </w:r>
            <w:r>
              <w:rPr>
                <w:rFonts w:ascii="Times New Roman" w:hAnsi="Times New Roman" w:eastAsia="Times New Roman" w:cs="Times New Roman"/>
                <w:color w:val="auto"/>
                <w:spacing w:val="8"/>
                <w:lang w:eastAsia="zh-CN"/>
              </w:rPr>
              <w:t>/</w:t>
            </w:r>
            <w:r>
              <w:rPr>
                <w:color w:val="auto"/>
                <w:spacing w:val="8"/>
                <w:lang w:eastAsia="zh-CN"/>
              </w:rPr>
              <w:t>同期使用抗菌药物</w:t>
            </w:r>
            <w:r>
              <w:rPr>
                <w:color w:val="auto"/>
                <w:spacing w:val="5"/>
                <w:lang w:eastAsia="zh-CN"/>
              </w:rPr>
              <w:t>治疗病例总数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19" w:firstLine="29"/>
              <w:jc w:val="both"/>
              <w:rPr>
                <w:color w:val="auto"/>
                <w:lang w:eastAsia="zh-CN"/>
              </w:rPr>
            </w:pPr>
            <w:r>
              <w:rPr>
                <w:color w:val="auto"/>
                <w:spacing w:val="2"/>
                <w:lang w:eastAsia="zh-CN"/>
              </w:rPr>
              <w:t>以治疗为目的使用抗菌药物的住院患者，使用</w:t>
            </w:r>
            <w:r>
              <w:rPr>
                <w:color w:val="auto"/>
                <w:spacing w:val="14"/>
                <w:lang w:eastAsia="zh-CN"/>
              </w:rPr>
              <w:t>抗菌药物前病原学检验标本送检病例数占同</w:t>
            </w:r>
            <w:r>
              <w:rPr>
                <w:color w:val="auto"/>
                <w:spacing w:val="3"/>
                <w:lang w:eastAsia="zh-CN"/>
              </w:rPr>
              <w:t>期使用抗菌药物治疗病例总数的比例。病原学</w:t>
            </w:r>
            <w:r>
              <w:rPr>
                <w:color w:val="auto"/>
                <w:spacing w:val="5"/>
                <w:lang w:eastAsia="zh-CN"/>
              </w:rPr>
              <w:t>检验标本包括：各种微生物培养、降钙素原、</w:t>
            </w:r>
            <w:r>
              <w:rPr>
                <w:color w:val="auto"/>
                <w:spacing w:val="6"/>
                <w:lang w:eastAsia="zh-CN"/>
              </w:rPr>
              <w:t>白介素</w:t>
            </w:r>
            <w:r>
              <w:rPr>
                <w:rFonts w:ascii="Times New Roman" w:hAnsi="Times New Roman" w:eastAsia="Times New Roman" w:cs="Times New Roman"/>
                <w:color w:val="auto"/>
                <w:spacing w:val="6"/>
                <w:lang w:eastAsia="zh-CN"/>
              </w:rPr>
              <w:t>-6</w:t>
            </w:r>
            <w:r>
              <w:rPr>
                <w:color w:val="auto"/>
                <w:spacing w:val="6"/>
                <w:lang w:eastAsia="zh-CN"/>
              </w:rPr>
              <w:t>等感染指标的血清学检验。</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5" w:right="25"/>
              <w:rPr>
                <w:color w:val="auto"/>
                <w:lang w:eastAsia="zh-CN"/>
              </w:rPr>
            </w:pPr>
            <w:r>
              <w:rPr>
                <w:color w:val="auto"/>
                <w:spacing w:val="7"/>
                <w:lang w:eastAsia="zh-CN"/>
              </w:rPr>
              <w:t>（八）</w:t>
            </w:r>
            <w:r>
              <w:rPr>
                <w:rFonts w:ascii="Times New Roman" w:hAnsi="Times New Roman" w:eastAsia="Times New Roman" w:cs="Times New Roman"/>
                <w:color w:val="auto"/>
                <w:spacing w:val="7"/>
                <w:lang w:eastAsia="zh-CN"/>
              </w:rPr>
              <w:t>I</w:t>
            </w:r>
            <w:r>
              <w:rPr>
                <w:color w:val="auto"/>
                <w:spacing w:val="7"/>
                <w:lang w:eastAsia="zh-CN"/>
              </w:rPr>
              <w:t>类切口手术部</w:t>
            </w:r>
            <w:r>
              <w:rPr>
                <w:color w:val="auto"/>
                <w:spacing w:val="8"/>
                <w:lang w:eastAsia="zh-CN"/>
              </w:rPr>
              <w:t>位感染率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6" w:right="43" w:hanging="9"/>
              <w:rPr>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发生</w:t>
            </w:r>
            <w:r>
              <w:rPr>
                <w:rFonts w:ascii="Times New Roman" w:hAnsi="Times New Roman" w:eastAsia="Times New Roman" w:cs="Times New Roman"/>
                <w:color w:val="auto"/>
                <w:spacing w:val="7"/>
                <w:lang w:eastAsia="zh-CN"/>
              </w:rPr>
              <w:t>I</w:t>
            </w:r>
            <w:r>
              <w:rPr>
                <w:color w:val="auto"/>
                <w:spacing w:val="7"/>
                <w:lang w:eastAsia="zh-CN"/>
              </w:rPr>
              <w:t>类切口手术部位感染病例</w:t>
            </w:r>
            <w:r>
              <w:rPr>
                <w:color w:val="auto"/>
                <w:spacing w:val="6"/>
                <w:lang w:eastAsia="zh-CN"/>
              </w:rPr>
              <w:t>数</w:t>
            </w:r>
            <w:r>
              <w:rPr>
                <w:rFonts w:ascii="Times New Roman" w:hAnsi="Times New Roman" w:eastAsia="Times New Roman" w:cs="Times New Roman"/>
                <w:color w:val="auto"/>
                <w:spacing w:val="6"/>
                <w:lang w:eastAsia="zh-CN"/>
              </w:rPr>
              <w:t>/</w:t>
            </w:r>
            <w:r>
              <w:rPr>
                <w:color w:val="auto"/>
                <w:spacing w:val="6"/>
                <w:lang w:eastAsia="zh-CN"/>
              </w:rPr>
              <w:t>同期</w:t>
            </w:r>
            <w:r>
              <w:rPr>
                <w:rFonts w:ascii="Times New Roman" w:hAnsi="Times New Roman" w:eastAsia="Times New Roman" w:cs="Times New Roman"/>
                <w:color w:val="auto"/>
                <w:spacing w:val="6"/>
                <w:lang w:eastAsia="zh-CN"/>
              </w:rPr>
              <w:t>I</w:t>
            </w:r>
            <w:r>
              <w:rPr>
                <w:color w:val="auto"/>
                <w:spacing w:val="6"/>
                <w:lang w:eastAsia="zh-CN"/>
              </w:rPr>
              <w:t>类切口手术患者总数</w:t>
            </w:r>
          </w:p>
          <w:p>
            <w:pPr>
              <w:spacing w:line="240" w:lineRule="exact"/>
              <w:ind w:left="16"/>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5"/>
                <w:position w:val="1"/>
                <w:sz w:val="19"/>
                <w:szCs w:val="19"/>
              </w:rPr>
              <w:t>x100%</w:t>
            </w:r>
          </w:p>
        </w:tc>
        <w:tc>
          <w:tcPr>
            <w:tcW w:w="3944" w:type="dxa"/>
          </w:tcPr>
          <w:p>
            <w:pPr>
              <w:pStyle w:val="8"/>
              <w:spacing w:before="0" w:line="240" w:lineRule="exact"/>
              <w:ind w:left="20" w:right="10" w:hanging="1"/>
              <w:rPr>
                <w:color w:val="auto"/>
                <w:lang w:eastAsia="zh-CN"/>
              </w:rPr>
            </w:pPr>
            <w:r>
              <w:rPr>
                <w:rFonts w:ascii="Times New Roman" w:hAnsi="Times New Roman" w:eastAsia="Times New Roman" w:cs="Times New Roman"/>
                <w:color w:val="auto"/>
                <w:spacing w:val="8"/>
                <w:lang w:eastAsia="zh-CN"/>
              </w:rPr>
              <w:t>I</w:t>
            </w:r>
            <w:r>
              <w:rPr>
                <w:color w:val="auto"/>
                <w:spacing w:val="8"/>
                <w:lang w:eastAsia="zh-CN"/>
              </w:rPr>
              <w:t>类切口手术部位感染是指发生</w:t>
            </w:r>
            <w:r>
              <w:rPr>
                <w:rFonts w:ascii="Times New Roman" w:hAnsi="Times New Roman" w:eastAsia="Times New Roman" w:cs="Times New Roman"/>
                <w:color w:val="auto"/>
                <w:spacing w:val="8"/>
                <w:lang w:eastAsia="zh-CN"/>
              </w:rPr>
              <w:t>I</w:t>
            </w:r>
            <w:r>
              <w:rPr>
                <w:color w:val="auto"/>
                <w:spacing w:val="8"/>
                <w:lang w:eastAsia="zh-CN"/>
              </w:rPr>
              <w:t>类（清洁）</w:t>
            </w:r>
            <w:r>
              <w:rPr>
                <w:color w:val="auto"/>
                <w:spacing w:val="5"/>
                <w:lang w:eastAsia="zh-CN"/>
              </w:rPr>
              <w:t>切口，即手术未进入炎症区，未进入呼吸、消化及泌尿生殖道，以及闭合性创伤手术符合上述条件的手术切口的感染，包括无植入物手术</w:t>
            </w:r>
            <w:r>
              <w:rPr>
                <w:color w:val="auto"/>
                <w:spacing w:val="6"/>
                <w:lang w:eastAsia="zh-CN"/>
              </w:rPr>
              <w:t>后</w:t>
            </w:r>
            <w:r>
              <w:rPr>
                <w:rFonts w:ascii="Times New Roman" w:hAnsi="Times New Roman" w:eastAsia="Times New Roman" w:cs="Times New Roman"/>
                <w:color w:val="auto"/>
                <w:spacing w:val="6"/>
                <w:lang w:eastAsia="zh-CN"/>
              </w:rPr>
              <w:t>30</w:t>
            </w:r>
            <w:r>
              <w:rPr>
                <w:color w:val="auto"/>
                <w:spacing w:val="6"/>
                <w:lang w:eastAsia="zh-CN"/>
              </w:rPr>
              <w:t>天内、有植入物手术后</w:t>
            </w:r>
            <w:r>
              <w:rPr>
                <w:rFonts w:ascii="Times New Roman" w:hAnsi="Times New Roman" w:eastAsia="Times New Roman" w:cs="Times New Roman"/>
                <w:color w:val="auto"/>
                <w:spacing w:val="6"/>
                <w:lang w:eastAsia="zh-CN"/>
              </w:rPr>
              <w:t>1</w:t>
            </w:r>
            <w:r>
              <w:rPr>
                <w:color w:val="auto"/>
                <w:spacing w:val="6"/>
                <w:lang w:eastAsia="zh-CN"/>
              </w:rPr>
              <w:t>年内发生的手</w:t>
            </w:r>
            <w:r>
              <w:rPr>
                <w:color w:val="auto"/>
                <w:spacing w:val="8"/>
                <w:lang w:eastAsia="zh-CN"/>
              </w:rPr>
              <w:t>术部位感染。</w:t>
            </w:r>
            <w:r>
              <w:rPr>
                <w:rFonts w:ascii="Times New Roman" w:hAnsi="Times New Roman" w:eastAsia="Times New Roman" w:cs="Times New Roman"/>
                <w:color w:val="auto"/>
                <w:spacing w:val="8"/>
                <w:lang w:eastAsia="zh-CN"/>
              </w:rPr>
              <w:t>I</w:t>
            </w:r>
            <w:r>
              <w:rPr>
                <w:color w:val="auto"/>
                <w:spacing w:val="8"/>
                <w:lang w:eastAsia="zh-CN"/>
              </w:rPr>
              <w:t>类切口手术部位感染率，是指</w:t>
            </w:r>
            <w:r>
              <w:rPr>
                <w:color w:val="auto"/>
                <w:spacing w:val="6"/>
                <w:lang w:eastAsia="zh-CN"/>
              </w:rPr>
              <w:t>发生</w:t>
            </w:r>
            <w:r>
              <w:rPr>
                <w:rFonts w:ascii="Times New Roman" w:hAnsi="Times New Roman" w:eastAsia="Times New Roman" w:cs="Times New Roman"/>
                <w:color w:val="auto"/>
                <w:spacing w:val="6"/>
                <w:lang w:eastAsia="zh-CN"/>
              </w:rPr>
              <w:t>I</w:t>
            </w:r>
            <w:r>
              <w:rPr>
                <w:color w:val="auto"/>
                <w:spacing w:val="6"/>
                <w:lang w:eastAsia="zh-CN"/>
              </w:rPr>
              <w:t>类切口手术部位感染病例数占同期</w:t>
            </w:r>
            <w:r>
              <w:rPr>
                <w:rFonts w:ascii="Times New Roman" w:hAnsi="Times New Roman" w:eastAsia="Times New Roman" w:cs="Times New Roman"/>
                <w:color w:val="auto"/>
                <w:spacing w:val="6"/>
                <w:lang w:eastAsia="zh-CN"/>
              </w:rPr>
              <w:t>I</w:t>
            </w:r>
            <w:r>
              <w:rPr>
                <w:color w:val="auto"/>
                <w:spacing w:val="6"/>
                <w:lang w:eastAsia="zh-CN"/>
              </w:rPr>
              <w:t>类</w:t>
            </w:r>
            <w:r>
              <w:rPr>
                <w:color w:val="auto"/>
                <w:spacing w:val="8"/>
                <w:lang w:eastAsia="zh-CN"/>
              </w:rPr>
              <w:t>切口手术患者总数的比例。</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8" w:right="13" w:hanging="3"/>
              <w:rPr>
                <w:color w:val="auto"/>
                <w:lang w:eastAsia="zh-CN"/>
              </w:rPr>
            </w:pPr>
            <w:r>
              <w:rPr>
                <w:color w:val="auto"/>
                <w:spacing w:val="2"/>
                <w:lang w:eastAsia="zh-CN"/>
              </w:rPr>
              <w:t>（九）血管内导管相关</w:t>
            </w:r>
            <w:r>
              <w:rPr>
                <w:color w:val="auto"/>
                <w:spacing w:val="8"/>
                <w:lang w:eastAsia="zh-CN"/>
              </w:rPr>
              <w:t>血流感染发病率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23" w:right="51" w:hanging="69"/>
              <w:rPr>
                <w:color w:val="auto"/>
              </w:rPr>
            </w:pPr>
            <w:r>
              <w:rPr>
                <w:color w:val="auto"/>
                <w:spacing w:val="7"/>
              </w:rPr>
              <w:t>例</w:t>
            </w:r>
            <w:r>
              <w:rPr>
                <w:rFonts w:ascii="Times New Roman" w:hAnsi="Times New Roman" w:eastAsia="Times New Roman" w:cs="Times New Roman"/>
                <w:color w:val="auto"/>
                <w:spacing w:val="7"/>
              </w:rPr>
              <w:t>/</w:t>
            </w:r>
            <w:r>
              <w:rPr>
                <w:color w:val="auto"/>
                <w:spacing w:val="7"/>
              </w:rPr>
              <w:t>千导管日(</w:t>
            </w:r>
            <w:r>
              <w:rPr>
                <w:rFonts w:ascii="Times New Roman" w:hAnsi="Times New Roman" w:eastAsia="Times New Roman" w:cs="Times New Roman"/>
                <w:color w:val="auto"/>
                <w:spacing w:val="7"/>
              </w:rPr>
              <w:t>⅐</w:t>
            </w:r>
            <w:r>
              <w:rPr>
                <w:color w:val="auto"/>
                <w:spacing w:val="7"/>
              </w:rPr>
              <w:t>)</w:t>
            </w:r>
          </w:p>
        </w:tc>
        <w:tc>
          <w:tcPr>
            <w:tcW w:w="2939" w:type="dxa"/>
          </w:tcPr>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血管内导管相关血流感染发生</w:t>
            </w:r>
            <w:r>
              <w:rPr>
                <w:color w:val="auto"/>
                <w:spacing w:val="8"/>
                <w:lang w:eastAsia="zh-CN"/>
              </w:rPr>
              <w:t>的例次数</w:t>
            </w:r>
            <w:r>
              <w:rPr>
                <w:rFonts w:ascii="Times New Roman" w:hAnsi="Times New Roman" w:eastAsia="Times New Roman" w:cs="Times New Roman"/>
                <w:color w:val="auto"/>
                <w:spacing w:val="8"/>
                <w:lang w:eastAsia="zh-CN"/>
              </w:rPr>
              <w:t>/</w:t>
            </w:r>
            <w:r>
              <w:rPr>
                <w:color w:val="auto"/>
                <w:spacing w:val="8"/>
                <w:lang w:eastAsia="zh-CN"/>
              </w:rPr>
              <w:t>同期住院患者血管内导</w:t>
            </w:r>
            <w:r>
              <w:rPr>
                <w:color w:val="auto"/>
                <w:spacing w:val="7"/>
                <w:lang w:eastAsia="zh-CN"/>
              </w:rPr>
              <w:t>管留置总天数</w:t>
            </w:r>
            <w:r>
              <w:rPr>
                <w:rFonts w:ascii="Times New Roman" w:hAnsi="Times New Roman" w:eastAsia="Times New Roman" w:cs="Times New Roman"/>
                <w:color w:val="auto"/>
                <w:spacing w:val="7"/>
                <w:lang w:eastAsia="zh-CN"/>
              </w:rPr>
              <w:t>x1000‰</w:t>
            </w:r>
          </w:p>
        </w:tc>
        <w:tc>
          <w:tcPr>
            <w:tcW w:w="3944" w:type="dxa"/>
          </w:tcPr>
          <w:p>
            <w:pPr>
              <w:pStyle w:val="8"/>
              <w:spacing w:before="0" w:line="240" w:lineRule="exact"/>
              <w:ind w:left="19" w:right="10"/>
              <w:rPr>
                <w:color w:val="auto"/>
                <w:lang w:eastAsia="zh-CN"/>
              </w:rPr>
            </w:pPr>
            <w:r>
              <w:rPr>
                <w:color w:val="auto"/>
                <w:spacing w:val="15"/>
                <w:lang w:eastAsia="zh-CN"/>
              </w:rPr>
              <w:t>使用血管内导管住院患者中新发血管内导管</w:t>
            </w:r>
            <w:r>
              <w:rPr>
                <w:color w:val="auto"/>
                <w:spacing w:val="8"/>
                <w:lang w:eastAsia="zh-CN"/>
              </w:rPr>
              <w:t>相关血流感染的发病频率。</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8" w:right="13" w:hanging="3"/>
              <w:rPr>
                <w:color w:val="auto"/>
                <w:lang w:eastAsia="zh-CN"/>
              </w:rPr>
            </w:pPr>
            <w:r>
              <w:rPr>
                <w:color w:val="auto"/>
                <w:spacing w:val="2"/>
                <w:lang w:eastAsia="zh-CN"/>
              </w:rPr>
              <w:t>（十）呼吸机相关肺炎</w:t>
            </w:r>
            <w:r>
              <w:rPr>
                <w:color w:val="auto"/>
                <w:spacing w:val="7"/>
                <w:lang w:eastAsia="zh-CN"/>
              </w:rPr>
              <w:t>发病率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54"/>
              <w:rPr>
                <w:color w:val="auto"/>
              </w:rPr>
            </w:pPr>
            <w:r>
              <w:rPr>
                <w:color w:val="auto"/>
                <w:spacing w:val="7"/>
                <w:position w:val="1"/>
              </w:rPr>
              <w:t>例</w:t>
            </w:r>
            <w:r>
              <w:rPr>
                <w:rFonts w:ascii="Times New Roman" w:hAnsi="Times New Roman" w:eastAsia="Times New Roman" w:cs="Times New Roman"/>
                <w:color w:val="auto"/>
                <w:spacing w:val="7"/>
                <w:position w:val="1"/>
              </w:rPr>
              <w:t>/</w:t>
            </w:r>
            <w:r>
              <w:rPr>
                <w:color w:val="auto"/>
                <w:spacing w:val="7"/>
                <w:position w:val="1"/>
              </w:rPr>
              <w:t>千机械</w:t>
            </w:r>
          </w:p>
          <w:p>
            <w:pPr>
              <w:pStyle w:val="8"/>
              <w:spacing w:before="0" w:line="240" w:lineRule="exact"/>
              <w:ind w:left="189"/>
              <w:rPr>
                <w:color w:val="auto"/>
              </w:rPr>
            </w:pPr>
            <w:r>
              <w:rPr>
                <w:color w:val="auto"/>
                <w:spacing w:val="5"/>
              </w:rPr>
              <w:t>通气日</w:t>
            </w:r>
          </w:p>
          <w:p>
            <w:pPr>
              <w:pStyle w:val="8"/>
              <w:spacing w:before="0" w:line="240" w:lineRule="exact"/>
              <w:ind w:left="276"/>
              <w:rPr>
                <w:color w:val="auto"/>
              </w:rPr>
            </w:pPr>
            <w:r>
              <w:rPr>
                <w:color w:val="auto"/>
                <w:spacing w:val="22"/>
                <w:position w:val="1"/>
              </w:rPr>
              <w:t>(</w:t>
            </w:r>
            <w:r>
              <w:rPr>
                <w:rFonts w:ascii="Times New Roman" w:hAnsi="Times New Roman" w:eastAsia="Times New Roman" w:cs="Times New Roman"/>
                <w:color w:val="auto"/>
                <w:spacing w:val="22"/>
                <w:position w:val="1"/>
              </w:rPr>
              <w:t>⅐</w:t>
            </w:r>
            <w:r>
              <w:rPr>
                <w:color w:val="auto"/>
                <w:spacing w:val="22"/>
                <w:position w:val="1"/>
              </w:rPr>
              <w:t>)</w:t>
            </w:r>
          </w:p>
        </w:tc>
        <w:tc>
          <w:tcPr>
            <w:tcW w:w="2939" w:type="dxa"/>
          </w:tcPr>
          <w:p>
            <w:pPr>
              <w:pStyle w:val="8"/>
              <w:spacing w:before="0" w:line="240" w:lineRule="exact"/>
              <w:ind w:left="22" w:right="153"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呼吸机相关肺炎例次数</w:t>
            </w:r>
            <w:r>
              <w:rPr>
                <w:rFonts w:ascii="Times New Roman" w:hAnsi="Times New Roman" w:eastAsia="Times New Roman" w:cs="Times New Roman"/>
                <w:color w:val="auto"/>
                <w:spacing w:val="8"/>
                <w:lang w:eastAsia="zh-CN"/>
              </w:rPr>
              <w:t>/</w:t>
            </w:r>
            <w:r>
              <w:rPr>
                <w:color w:val="auto"/>
                <w:spacing w:val="8"/>
                <w:lang w:eastAsia="zh-CN"/>
              </w:rPr>
              <w:t>同期患</w:t>
            </w:r>
            <w:r>
              <w:rPr>
                <w:color w:val="auto"/>
                <w:spacing w:val="6"/>
                <w:lang w:eastAsia="zh-CN"/>
              </w:rPr>
              <w:t>者使用呼吸机总天数</w:t>
            </w:r>
            <w:r>
              <w:rPr>
                <w:rFonts w:ascii="Times New Roman" w:hAnsi="Times New Roman" w:eastAsia="Times New Roman" w:cs="Times New Roman"/>
                <w:color w:val="auto"/>
                <w:spacing w:val="6"/>
                <w:lang w:eastAsia="zh-CN"/>
              </w:rPr>
              <w:t>×1000‰</w:t>
            </w:r>
          </w:p>
        </w:tc>
        <w:tc>
          <w:tcPr>
            <w:tcW w:w="3944" w:type="dxa"/>
          </w:tcPr>
          <w:p>
            <w:pPr>
              <w:pStyle w:val="8"/>
              <w:spacing w:before="0" w:line="240" w:lineRule="exact"/>
              <w:ind w:left="38" w:right="10" w:hanging="19"/>
              <w:rPr>
                <w:color w:val="auto"/>
                <w:lang w:eastAsia="zh-CN"/>
              </w:rPr>
            </w:pPr>
            <w:r>
              <w:rPr>
                <w:color w:val="auto"/>
                <w:spacing w:val="15"/>
                <w:lang w:eastAsia="zh-CN"/>
              </w:rPr>
              <w:t>使用呼吸机住院患者中新发呼吸机相关肺炎</w:t>
            </w:r>
            <w:r>
              <w:rPr>
                <w:color w:val="auto"/>
                <w:spacing w:val="3"/>
                <w:lang w:eastAsia="zh-CN"/>
              </w:rPr>
              <w:t>的发病频率。</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9" w:right="13" w:hanging="4"/>
              <w:rPr>
                <w:color w:val="auto"/>
                <w:lang w:eastAsia="zh-CN"/>
              </w:rPr>
            </w:pPr>
            <w:r>
              <w:rPr>
                <w:color w:val="auto"/>
                <w:spacing w:val="2"/>
                <w:lang w:eastAsia="zh-CN"/>
              </w:rPr>
              <w:t>（十一）导尿管相关泌</w:t>
            </w:r>
            <w:r>
              <w:rPr>
                <w:color w:val="auto"/>
                <w:spacing w:val="8"/>
                <w:lang w:eastAsia="zh-CN"/>
              </w:rPr>
              <w:t>尿系感染发病率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2" w:right="42" w:firstLine="32"/>
              <w:rPr>
                <w:color w:val="auto"/>
              </w:rPr>
            </w:pPr>
            <w:r>
              <w:rPr>
                <w:color w:val="auto"/>
                <w:spacing w:val="7"/>
              </w:rPr>
              <w:t>例</w:t>
            </w:r>
            <w:r>
              <w:rPr>
                <w:rFonts w:ascii="Times New Roman" w:hAnsi="Times New Roman" w:eastAsia="Times New Roman" w:cs="Times New Roman"/>
                <w:color w:val="auto"/>
                <w:spacing w:val="7"/>
              </w:rPr>
              <w:t>/</w:t>
            </w:r>
            <w:r>
              <w:rPr>
                <w:color w:val="auto"/>
                <w:spacing w:val="7"/>
              </w:rPr>
              <w:t>千导尿</w:t>
            </w:r>
            <w:r>
              <w:rPr>
                <w:color w:val="auto"/>
                <w:spacing w:val="13"/>
              </w:rPr>
              <w:t>管日(</w:t>
            </w:r>
            <w:r>
              <w:rPr>
                <w:rFonts w:ascii="Times New Roman" w:hAnsi="Times New Roman" w:eastAsia="Times New Roman" w:cs="Times New Roman"/>
                <w:color w:val="auto"/>
                <w:spacing w:val="13"/>
              </w:rPr>
              <w:t>⅐</w:t>
            </w:r>
            <w:r>
              <w:rPr>
                <w:color w:val="auto"/>
                <w:spacing w:val="13"/>
              </w:rPr>
              <w:t>)</w:t>
            </w:r>
          </w:p>
        </w:tc>
        <w:tc>
          <w:tcPr>
            <w:tcW w:w="2939" w:type="dxa"/>
          </w:tcPr>
          <w:p>
            <w:pPr>
              <w:pStyle w:val="8"/>
              <w:spacing w:before="0" w:line="240" w:lineRule="exact"/>
              <w:ind w:left="41" w:right="152" w:hanging="24"/>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导尿管相关泌尿系感染例次数</w:t>
            </w:r>
            <w:r>
              <w:rPr>
                <w:rFonts w:ascii="Times New Roman" w:hAnsi="Times New Roman" w:eastAsia="Times New Roman" w:cs="Times New Roman"/>
                <w:color w:val="auto"/>
                <w:spacing w:val="8"/>
                <w:lang w:eastAsia="zh-CN"/>
              </w:rPr>
              <w:t>/</w:t>
            </w:r>
            <w:r>
              <w:rPr>
                <w:color w:val="auto"/>
                <w:spacing w:val="7"/>
                <w:lang w:eastAsia="zh-CN"/>
              </w:rPr>
              <w:t>同期患者使用导尿管总天数</w:t>
            </w:r>
          </w:p>
          <w:p>
            <w:pPr>
              <w:spacing w:before="0" w:line="240" w:lineRule="exact"/>
              <w:ind w:left="29"/>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1"/>
                <w:position w:val="1"/>
                <w:sz w:val="19"/>
                <w:szCs w:val="19"/>
              </w:rPr>
              <w:t>×1000‰</w:t>
            </w:r>
          </w:p>
        </w:tc>
        <w:tc>
          <w:tcPr>
            <w:tcW w:w="3944" w:type="dxa"/>
          </w:tcPr>
          <w:p>
            <w:pPr>
              <w:pStyle w:val="8"/>
              <w:spacing w:before="0" w:line="240" w:lineRule="exact"/>
              <w:ind w:left="30" w:right="10" w:hanging="11"/>
              <w:rPr>
                <w:color w:val="auto"/>
                <w:lang w:eastAsia="zh-CN"/>
              </w:rPr>
            </w:pPr>
            <w:r>
              <w:rPr>
                <w:color w:val="auto"/>
                <w:spacing w:val="15"/>
                <w:lang w:eastAsia="zh-CN"/>
              </w:rPr>
              <w:t>使用导尿管住院患者中新发导尿管相关泌尿</w:t>
            </w:r>
            <w:r>
              <w:rPr>
                <w:color w:val="auto"/>
                <w:spacing w:val="6"/>
                <w:lang w:eastAsia="zh-CN"/>
              </w:rPr>
              <w:t>系感染的发病频率。</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3" w:right="13" w:hanging="8"/>
              <w:rPr>
                <w:color w:val="auto"/>
                <w:lang w:eastAsia="zh-CN"/>
              </w:rPr>
            </w:pPr>
            <w:r>
              <w:rPr>
                <w:color w:val="auto"/>
                <w:spacing w:val="2"/>
                <w:lang w:eastAsia="zh-CN"/>
              </w:rPr>
              <w:t>（十二）院感质控数据</w:t>
            </w:r>
            <w:r>
              <w:rPr>
                <w:color w:val="auto"/>
                <w:spacing w:val="5"/>
                <w:lang w:eastAsia="zh-CN"/>
              </w:rPr>
              <w:t>上报率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26" w:right="67" w:firstLine="43"/>
              <w:jc w:val="both"/>
              <w:rPr>
                <w:rFonts w:ascii="Times New Roman" w:hAnsi="Times New Roman" w:eastAsia="Times New Roman" w:cs="Times New Roman"/>
                <w:color w:val="auto"/>
                <w:lang w:eastAsia="zh-CN"/>
              </w:rPr>
            </w:pPr>
            <w:r>
              <w:rPr>
                <w:color w:val="auto"/>
                <w:spacing w:val="12"/>
                <w:lang w:eastAsia="zh-CN"/>
              </w:rPr>
              <w:t>=医疗机构上报院感质控数据累</w:t>
            </w:r>
            <w:r>
              <w:rPr>
                <w:color w:val="auto"/>
                <w:spacing w:val="8"/>
                <w:lang w:eastAsia="zh-CN"/>
              </w:rPr>
              <w:t>计月数</w:t>
            </w:r>
            <w:r>
              <w:rPr>
                <w:rFonts w:ascii="Times New Roman" w:hAnsi="Times New Roman" w:eastAsia="Times New Roman" w:cs="Times New Roman"/>
                <w:color w:val="auto"/>
                <w:spacing w:val="8"/>
                <w:lang w:eastAsia="zh-CN"/>
              </w:rPr>
              <w:t>/</w:t>
            </w:r>
            <w:r>
              <w:rPr>
                <w:color w:val="auto"/>
                <w:spacing w:val="8"/>
                <w:lang w:eastAsia="zh-CN"/>
              </w:rPr>
              <w:t>医疗机构应上报质控数据</w:t>
            </w:r>
            <w:r>
              <w:rPr>
                <w:color w:val="auto"/>
                <w:spacing w:val="3"/>
                <w:lang w:eastAsia="zh-CN"/>
              </w:rPr>
              <w:t>累计月数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27" w:right="10" w:firstLine="18"/>
              <w:rPr>
                <w:color w:val="auto"/>
                <w:lang w:eastAsia="zh-CN"/>
              </w:rPr>
            </w:pPr>
            <w:r>
              <w:rPr>
                <w:color w:val="auto"/>
                <w:spacing w:val="14"/>
                <w:lang w:eastAsia="zh-CN"/>
              </w:rPr>
              <w:t>医疗机构上报院感质控数据的累计月数占应</w:t>
            </w:r>
            <w:r>
              <w:rPr>
                <w:color w:val="auto"/>
                <w:spacing w:val="7"/>
                <w:lang w:eastAsia="zh-CN"/>
              </w:rPr>
              <w:t>上报累计月数的比例。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269" w:type="dxa"/>
            <w:vMerge w:val="continue"/>
            <w:tcBorders>
              <w:top w:val="nil"/>
            </w:tcBorders>
          </w:tcPr>
          <w:p>
            <w:pPr>
              <w:spacing w:line="240" w:lineRule="exact"/>
              <w:rPr>
                <w:color w:val="auto"/>
              </w:rPr>
            </w:pPr>
          </w:p>
        </w:tc>
        <w:tc>
          <w:tcPr>
            <w:tcW w:w="1956" w:type="dxa"/>
          </w:tcPr>
          <w:p>
            <w:pPr>
              <w:pStyle w:val="8"/>
              <w:spacing w:before="0" w:line="240" w:lineRule="exact"/>
              <w:ind w:left="15"/>
              <w:rPr>
                <w:color w:val="auto"/>
                <w:lang w:eastAsia="zh-CN"/>
              </w:rPr>
            </w:pPr>
            <w:r>
              <w:rPr>
                <w:color w:val="auto"/>
                <w:spacing w:val="2"/>
                <w:lang w:eastAsia="zh-CN"/>
              </w:rPr>
              <w:t>（十三）锐器伤发生率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4" w:right="67" w:hanging="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医院卫生技术人员发生锐器伤</w:t>
            </w:r>
            <w:r>
              <w:rPr>
                <w:color w:val="auto"/>
                <w:spacing w:val="7"/>
                <w:lang w:eastAsia="zh-CN"/>
              </w:rPr>
              <w:t>的例次数</w:t>
            </w:r>
            <w:r>
              <w:rPr>
                <w:rFonts w:ascii="Times New Roman" w:hAnsi="Times New Roman" w:eastAsia="Times New Roman" w:cs="Times New Roman"/>
                <w:color w:val="auto"/>
                <w:spacing w:val="7"/>
                <w:lang w:eastAsia="zh-CN"/>
              </w:rPr>
              <w:t>/</w:t>
            </w:r>
            <w:r>
              <w:rPr>
                <w:color w:val="auto"/>
                <w:spacing w:val="7"/>
                <w:lang w:eastAsia="zh-CN"/>
              </w:rPr>
              <w:t>同期医院卫生技术人员</w:t>
            </w:r>
            <w:r>
              <w:rPr>
                <w:color w:val="auto"/>
                <w:spacing w:val="1"/>
                <w:lang w:eastAsia="zh-CN"/>
              </w:rPr>
              <w:t>总人数</w:t>
            </w:r>
            <w:r>
              <w:rPr>
                <w:rFonts w:ascii="Times New Roman" w:hAnsi="Times New Roman" w:eastAsia="Times New Roman" w:cs="Times New Roman"/>
                <w:color w:val="auto"/>
                <w:spacing w:val="1"/>
                <w:lang w:eastAsia="zh-CN"/>
              </w:rPr>
              <w:t>×100%</w:t>
            </w:r>
          </w:p>
        </w:tc>
        <w:tc>
          <w:tcPr>
            <w:tcW w:w="3944" w:type="dxa"/>
          </w:tcPr>
          <w:p>
            <w:pPr>
              <w:pStyle w:val="8"/>
              <w:spacing w:before="0" w:line="240" w:lineRule="exact"/>
              <w:ind w:left="19" w:right="10" w:firstLine="7"/>
              <w:jc w:val="both"/>
              <w:rPr>
                <w:color w:val="auto"/>
                <w:lang w:eastAsia="zh-CN"/>
              </w:rPr>
            </w:pPr>
            <w:r>
              <w:rPr>
                <w:color w:val="auto"/>
                <w:spacing w:val="4"/>
                <w:lang w:eastAsia="zh-CN"/>
              </w:rPr>
              <w:t>单位时间内，医院卫生技术人员发生锐器伤的</w:t>
            </w:r>
            <w:r>
              <w:rPr>
                <w:color w:val="auto"/>
                <w:spacing w:val="15"/>
                <w:lang w:eastAsia="zh-CN"/>
              </w:rPr>
              <w:t>例次数占同期医院卫生技术人员总人数的比</w:t>
            </w:r>
            <w:r>
              <w:rPr>
                <w:color w:val="auto"/>
                <w:spacing w:val="2"/>
                <w:lang w:eastAsia="zh-CN"/>
              </w:rPr>
              <w:t>例。</w:t>
            </w:r>
          </w:p>
          <w:p>
            <w:pPr>
              <w:pStyle w:val="8"/>
              <w:spacing w:before="0" w:line="240" w:lineRule="exact"/>
              <w:ind w:left="22"/>
              <w:rPr>
                <w:color w:val="auto"/>
                <w:lang w:eastAsia="zh-CN"/>
              </w:rPr>
            </w:pPr>
            <w:r>
              <w:rPr>
                <w:color w:val="auto"/>
                <w:spacing w:val="5"/>
                <w:lang w:eastAsia="zh-CN"/>
              </w:rPr>
              <w:t>说明：锐器伤是指由锐器造成的皮肤或黏膜的</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autoSpaceDE/>
        <w:autoSpaceDN/>
        <w:spacing w:line="20" w:lineRule="exact"/>
        <w:rPr>
          <w:color w:val="auto"/>
          <w:sz w:val="9"/>
        </w:rPr>
      </w:pPr>
    </w:p>
    <w:p>
      <w:pPr>
        <w:autoSpaceDE/>
        <w:autoSpaceDN/>
        <w:spacing w:line="20" w:lineRule="exact"/>
        <w:rPr>
          <w:color w:val="auto"/>
          <w:sz w:val="9"/>
          <w:szCs w:val="9"/>
        </w:rPr>
        <w:sectPr>
          <w:footerReference r:id="rId33"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tcPr>
          <w:p>
            <w:pPr>
              <w:spacing w:line="240" w:lineRule="exact"/>
              <w:rPr>
                <w:color w:val="auto"/>
              </w:rPr>
            </w:pPr>
          </w:p>
        </w:tc>
        <w:tc>
          <w:tcPr>
            <w:tcW w:w="1956"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4" w:type="dxa"/>
          </w:tcPr>
          <w:p>
            <w:pPr>
              <w:pStyle w:val="8"/>
              <w:spacing w:before="0" w:line="240" w:lineRule="exact"/>
              <w:ind w:left="30" w:hanging="8"/>
              <w:rPr>
                <w:color w:val="auto"/>
                <w:lang w:eastAsia="zh-CN"/>
              </w:rPr>
            </w:pPr>
            <w:r>
              <w:rPr>
                <w:color w:val="auto"/>
                <w:spacing w:val="3"/>
                <w:lang w:eastAsia="zh-CN"/>
              </w:rPr>
              <w:t>损伤。医疗卫生技术人员包括但不限于医师、</w:t>
            </w:r>
            <w:r>
              <w:rPr>
                <w:color w:val="auto"/>
                <w:spacing w:val="4"/>
                <w:lang w:eastAsia="zh-CN"/>
              </w:rPr>
              <w:t>护士、治疗师。</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restart"/>
            <w:tcBorders>
              <w:bottom w:val="nil"/>
            </w:tcBorders>
          </w:tcPr>
          <w:p>
            <w:pPr>
              <w:pStyle w:val="8"/>
              <w:spacing w:before="0" w:line="240" w:lineRule="exact"/>
              <w:ind w:left="23" w:right="15" w:firstLine="22"/>
              <w:rPr>
                <w:color w:val="auto"/>
                <w:lang w:eastAsia="zh-CN"/>
              </w:rPr>
            </w:pPr>
            <w:r>
              <w:rPr>
                <w:color w:val="auto"/>
                <w:spacing w:val="10"/>
                <w:lang w:eastAsia="zh-CN"/>
              </w:rPr>
              <w:t>四、临床用血</w:t>
            </w:r>
            <w:r>
              <w:rPr>
                <w:color w:val="auto"/>
                <w:spacing w:val="8"/>
                <w:lang w:eastAsia="zh-CN"/>
              </w:rPr>
              <w:t>质量控制指标</w:t>
            </w:r>
          </w:p>
        </w:tc>
        <w:tc>
          <w:tcPr>
            <w:tcW w:w="1956" w:type="dxa"/>
          </w:tcPr>
          <w:p>
            <w:pPr>
              <w:pStyle w:val="8"/>
              <w:spacing w:before="0" w:line="240" w:lineRule="exact"/>
              <w:ind w:left="23" w:right="13" w:hanging="8"/>
              <w:rPr>
                <w:color w:val="auto"/>
                <w:lang w:eastAsia="zh-CN"/>
              </w:rPr>
            </w:pPr>
            <w:r>
              <w:rPr>
                <w:color w:val="auto"/>
                <w:spacing w:val="-9"/>
                <w:lang w:eastAsia="zh-CN"/>
              </w:rPr>
              <w:t>（一）《临床输血申请</w:t>
            </w:r>
            <w:r>
              <w:rPr>
                <w:color w:val="auto"/>
                <w:spacing w:val="7"/>
                <w:lang w:eastAsia="zh-CN"/>
              </w:rPr>
              <w:t>单》合格率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符合用血条件且填写规范的申</w:t>
            </w:r>
            <w:r>
              <w:rPr>
                <w:color w:val="auto"/>
                <w:spacing w:val="8"/>
                <w:lang w:eastAsia="zh-CN"/>
              </w:rPr>
              <w:t>请单数</w:t>
            </w:r>
            <w:r>
              <w:rPr>
                <w:rFonts w:ascii="Times New Roman" w:hAnsi="Times New Roman" w:eastAsia="Times New Roman" w:cs="Times New Roman"/>
                <w:color w:val="auto"/>
                <w:spacing w:val="8"/>
                <w:lang w:eastAsia="zh-CN"/>
              </w:rPr>
              <w:t>/</w:t>
            </w:r>
            <w:r>
              <w:rPr>
                <w:color w:val="auto"/>
                <w:spacing w:val="8"/>
                <w:lang w:eastAsia="zh-CN"/>
              </w:rPr>
              <w:t>同期输血科（血库）接收</w:t>
            </w:r>
            <w:r>
              <w:rPr>
                <w:color w:val="auto"/>
                <w:spacing w:val="5"/>
                <w:lang w:eastAsia="zh-CN"/>
              </w:rPr>
              <w:t>的申请单总数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24" w:right="10" w:firstLine="2"/>
              <w:jc w:val="both"/>
              <w:rPr>
                <w:color w:val="auto"/>
                <w:lang w:eastAsia="zh-CN"/>
              </w:rPr>
            </w:pPr>
            <w:r>
              <w:rPr>
                <w:color w:val="auto"/>
                <w:spacing w:val="15"/>
                <w:lang w:eastAsia="zh-CN"/>
              </w:rPr>
              <w:t>符合用血条件且填写规范的《临床输血申请</w:t>
            </w:r>
            <w:r>
              <w:rPr>
                <w:color w:val="auto"/>
                <w:spacing w:val="5"/>
                <w:lang w:eastAsia="zh-CN"/>
              </w:rPr>
              <w:t>单》数量占同期输血科（血库）接收的《临床</w:t>
            </w:r>
            <w:r>
              <w:rPr>
                <w:color w:val="auto"/>
                <w:spacing w:val="8"/>
                <w:lang w:eastAsia="zh-CN"/>
              </w:rPr>
              <w:t>输血申请单》总数的百分比。</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7" w:right="13" w:hanging="12"/>
              <w:rPr>
                <w:color w:val="auto"/>
                <w:lang w:eastAsia="zh-CN"/>
              </w:rPr>
            </w:pPr>
            <w:r>
              <w:rPr>
                <w:color w:val="auto"/>
                <w:spacing w:val="-3"/>
                <w:lang w:eastAsia="zh-CN"/>
              </w:rPr>
              <w:t>（二）受血者标本血型</w:t>
            </w:r>
            <w:r>
              <w:rPr>
                <w:color w:val="auto"/>
                <w:spacing w:val="4"/>
                <w:lang w:eastAsia="zh-CN"/>
              </w:rPr>
              <w:t>复查率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29" w:right="152" w:hanging="1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受血者血液标本复查血型数量</w:t>
            </w:r>
            <w:r>
              <w:rPr>
                <w:rFonts w:ascii="Times New Roman" w:hAnsi="Times New Roman" w:eastAsia="Times New Roman" w:cs="Times New Roman"/>
                <w:color w:val="auto"/>
                <w:spacing w:val="8"/>
                <w:lang w:eastAsia="zh-CN"/>
              </w:rPr>
              <w:t>/</w:t>
            </w:r>
            <w:r>
              <w:rPr>
                <w:color w:val="auto"/>
                <w:spacing w:val="7"/>
                <w:lang w:eastAsia="zh-CN"/>
              </w:rPr>
              <w:t>同期接收受血者血液标本总数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30" w:right="10" w:hanging="11"/>
              <w:jc w:val="both"/>
              <w:rPr>
                <w:color w:val="auto"/>
                <w:lang w:eastAsia="zh-CN"/>
              </w:rPr>
            </w:pPr>
            <w:r>
              <w:rPr>
                <w:color w:val="auto"/>
                <w:spacing w:val="5"/>
                <w:lang w:eastAsia="zh-CN"/>
              </w:rPr>
              <w:t>是指输血科（血库）对受血者血液标本复查血</w:t>
            </w:r>
            <w:r>
              <w:rPr>
                <w:color w:val="auto"/>
                <w:spacing w:val="15"/>
                <w:lang w:eastAsia="zh-CN"/>
              </w:rPr>
              <w:t>型的数量占同期接收受血者血液标本总数的</w:t>
            </w:r>
            <w:r>
              <w:rPr>
                <w:color w:val="auto"/>
                <w:spacing w:val="3"/>
                <w:lang w:eastAsia="zh-CN"/>
              </w:rPr>
              <w:t>百分比。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0" w:right="13" w:hanging="5"/>
              <w:rPr>
                <w:color w:val="auto"/>
                <w:lang w:eastAsia="zh-CN"/>
              </w:rPr>
            </w:pPr>
            <w:r>
              <w:rPr>
                <w:color w:val="auto"/>
                <w:spacing w:val="2"/>
                <w:lang w:eastAsia="zh-CN"/>
              </w:rPr>
              <w:t>（三）输血相容性检测</w:t>
            </w:r>
            <w:r>
              <w:rPr>
                <w:color w:val="auto"/>
                <w:spacing w:val="8"/>
                <w:lang w:eastAsia="zh-CN"/>
              </w:rPr>
              <w:t>项目室内质控率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24" w:right="67"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开展室内质控的输血相容性检</w:t>
            </w:r>
            <w:r>
              <w:rPr>
                <w:color w:val="auto"/>
                <w:spacing w:val="8"/>
                <w:lang w:eastAsia="zh-CN"/>
              </w:rPr>
              <w:t>测项目数</w:t>
            </w:r>
            <w:r>
              <w:rPr>
                <w:rFonts w:ascii="Times New Roman" w:hAnsi="Times New Roman" w:eastAsia="Times New Roman" w:cs="Times New Roman"/>
                <w:color w:val="auto"/>
                <w:spacing w:val="8"/>
                <w:lang w:eastAsia="zh-CN"/>
              </w:rPr>
              <w:t>/</w:t>
            </w:r>
            <w:r>
              <w:rPr>
                <w:color w:val="auto"/>
                <w:spacing w:val="8"/>
                <w:lang w:eastAsia="zh-CN"/>
              </w:rPr>
              <w:t>医疗机构开展的输血相</w:t>
            </w:r>
            <w:r>
              <w:rPr>
                <w:color w:val="auto"/>
                <w:spacing w:val="5"/>
                <w:lang w:eastAsia="zh-CN"/>
              </w:rPr>
              <w:t>容性检测项目总数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22" w:right="10" w:firstLine="6"/>
              <w:jc w:val="both"/>
              <w:rPr>
                <w:color w:val="auto"/>
                <w:lang w:eastAsia="zh-CN"/>
              </w:rPr>
            </w:pPr>
            <w:r>
              <w:rPr>
                <w:color w:val="auto"/>
                <w:spacing w:val="15"/>
                <w:lang w:eastAsia="zh-CN"/>
              </w:rPr>
              <w:t>开展室内质控的输血相容性检测项目数占医疗机构开展的输血相容性检测项目总数的百</w:t>
            </w:r>
            <w:r>
              <w:rPr>
                <w:color w:val="auto"/>
                <w:spacing w:val="3"/>
                <w:lang w:eastAsia="zh-CN"/>
              </w:rPr>
              <w:t>分比。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30" w:right="13" w:hanging="15"/>
              <w:rPr>
                <w:color w:val="auto"/>
                <w:lang w:eastAsia="zh-CN"/>
              </w:rPr>
            </w:pPr>
            <w:r>
              <w:rPr>
                <w:color w:val="auto"/>
                <w:spacing w:val="2"/>
                <w:lang w:eastAsia="zh-CN"/>
              </w:rPr>
              <w:t>（四）输血相容性检测</w:t>
            </w:r>
            <w:r>
              <w:rPr>
                <w:color w:val="auto"/>
                <w:spacing w:val="7"/>
                <w:lang w:eastAsia="zh-CN"/>
              </w:rPr>
              <w:t>室间质评项目参加率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27" w:right="67"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参加室间质评的输血相容性检</w:t>
            </w:r>
            <w:r>
              <w:rPr>
                <w:color w:val="auto"/>
                <w:spacing w:val="8"/>
                <w:lang w:eastAsia="zh-CN"/>
              </w:rPr>
              <w:t>测项目数</w:t>
            </w:r>
            <w:r>
              <w:rPr>
                <w:rFonts w:ascii="Times New Roman" w:hAnsi="Times New Roman" w:eastAsia="Times New Roman" w:cs="Times New Roman"/>
                <w:color w:val="auto"/>
                <w:spacing w:val="8"/>
                <w:lang w:eastAsia="zh-CN"/>
              </w:rPr>
              <w:t>/</w:t>
            </w:r>
            <w:r>
              <w:rPr>
                <w:color w:val="auto"/>
                <w:spacing w:val="8"/>
                <w:lang w:eastAsia="zh-CN"/>
              </w:rPr>
              <w:t>同期室间质评机构开展的输血相容性检测室间质评总数</w:t>
            </w:r>
            <w:r>
              <w:rPr>
                <w:rFonts w:ascii="Times New Roman" w:hAnsi="Times New Roman" w:eastAsia="Times New Roman" w:cs="Times New Roman"/>
                <w:color w:val="auto"/>
                <w:spacing w:val="-2"/>
                <w:lang w:eastAsia="zh-CN"/>
              </w:rPr>
              <w:t>×100%</w:t>
            </w:r>
          </w:p>
        </w:tc>
        <w:tc>
          <w:tcPr>
            <w:tcW w:w="3944" w:type="dxa"/>
          </w:tcPr>
          <w:p>
            <w:pPr>
              <w:pStyle w:val="8"/>
              <w:spacing w:before="0" w:line="240" w:lineRule="exact"/>
              <w:ind w:left="19" w:right="10" w:firstLine="6"/>
              <w:jc w:val="both"/>
              <w:rPr>
                <w:color w:val="auto"/>
                <w:lang w:eastAsia="zh-CN"/>
              </w:rPr>
            </w:pPr>
            <w:r>
              <w:rPr>
                <w:color w:val="auto"/>
                <w:spacing w:val="15"/>
                <w:lang w:eastAsia="zh-CN"/>
              </w:rPr>
              <w:t>参加室间质评的输血相容性检测项目数占所参加的同期室间质评机构开展的输血相容性</w:t>
            </w:r>
            <w:r>
              <w:rPr>
                <w:color w:val="auto"/>
                <w:spacing w:val="7"/>
                <w:lang w:eastAsia="zh-CN"/>
              </w:rPr>
              <w:t>检测室间质评</w:t>
            </w:r>
            <w:r>
              <w:rPr>
                <w:rFonts w:ascii="Times New Roman" w:hAnsi="Times New Roman" w:eastAsia="Times New Roman" w:cs="Times New Roman"/>
                <w:color w:val="auto"/>
                <w:spacing w:val="7"/>
                <w:lang w:eastAsia="zh-CN"/>
              </w:rPr>
              <w:t>5</w:t>
            </w:r>
            <w:r>
              <w:rPr>
                <w:color w:val="auto"/>
                <w:spacing w:val="7"/>
                <w:lang w:eastAsia="zh-CN"/>
              </w:rPr>
              <w:t>个项目总数的百分比。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7" w:right="13" w:hanging="2"/>
              <w:rPr>
                <w:color w:val="auto"/>
                <w:lang w:eastAsia="zh-CN"/>
              </w:rPr>
            </w:pPr>
            <w:r>
              <w:rPr>
                <w:color w:val="auto"/>
                <w:spacing w:val="2"/>
                <w:lang w:eastAsia="zh-CN"/>
              </w:rPr>
              <w:t>（五）室间质评项目合</w:t>
            </w:r>
            <w:r>
              <w:rPr>
                <w:color w:val="auto"/>
                <w:spacing w:val="5"/>
                <w:lang w:eastAsia="zh-CN"/>
              </w:rPr>
              <w:t>格率</w:t>
            </w:r>
          </w:p>
        </w:tc>
        <w:tc>
          <w:tcPr>
            <w:tcW w:w="1814" w:type="dxa"/>
          </w:tcPr>
          <w:p>
            <w:pPr>
              <w:spacing w:line="240" w:lineRule="exact"/>
              <w:rPr>
                <w:color w:val="auto"/>
                <w:lang w:eastAsia="zh-CN"/>
              </w:rPr>
            </w:pPr>
          </w:p>
          <w:p>
            <w:pPr>
              <w:pStyle w:val="8"/>
              <w:spacing w:before="0" w:line="240" w:lineRule="exact"/>
              <w:ind w:left="27" w:right="147" w:hanging="7"/>
              <w:rPr>
                <w:color w:val="auto"/>
                <w:lang w:eastAsia="zh-CN"/>
              </w:rPr>
            </w:pPr>
            <w:r>
              <w:rPr>
                <w:color w:val="auto"/>
                <w:spacing w:val="8"/>
                <w:lang w:eastAsia="zh-CN"/>
              </w:rPr>
              <w:t>定量指标</w:t>
            </w:r>
            <w:r>
              <w:rPr>
                <w:rFonts w:ascii="Times New Roman" w:hAnsi="Times New Roman" w:eastAsia="Times New Roman" w:cs="Times New Roman"/>
                <w:color w:val="auto"/>
                <w:spacing w:val="8"/>
                <w:lang w:eastAsia="zh-CN"/>
              </w:rPr>
              <w:t>,</w:t>
            </w:r>
            <w:r>
              <w:rPr>
                <w:color w:val="auto"/>
                <w:spacing w:val="8"/>
                <w:lang w:eastAsia="zh-CN"/>
              </w:rPr>
              <w:t>连续监测</w:t>
            </w:r>
            <w:r>
              <w:rPr>
                <w:color w:val="auto"/>
                <w:spacing w:val="7"/>
                <w:lang w:eastAsia="zh-CN"/>
              </w:rPr>
              <w:t>类指标，必填指标</w:t>
            </w:r>
          </w:p>
        </w:tc>
        <w:tc>
          <w:tcPr>
            <w:tcW w:w="960" w:type="dxa"/>
          </w:tcPr>
          <w:p>
            <w:pPr>
              <w:pStyle w:val="8"/>
              <w:spacing w:before="0" w:line="240" w:lineRule="exact"/>
              <w:ind w:left="193"/>
              <w:rPr>
                <w:color w:val="auto"/>
              </w:rPr>
            </w:pPr>
            <w:r>
              <w:rPr>
                <w:color w:val="auto"/>
                <w:spacing w:val="4"/>
                <w:position w:val="26"/>
              </w:rPr>
              <w:t>百分比</w:t>
            </w:r>
          </w:p>
          <w:p>
            <w:pPr>
              <w:pStyle w:val="8"/>
              <w:spacing w:line="240" w:lineRule="exact"/>
              <w:ind w:left="198"/>
              <w:rPr>
                <w:color w:val="auto"/>
              </w:rPr>
            </w:pPr>
            <w:r>
              <w:rPr>
                <w:color w:val="auto"/>
                <w:spacing w:val="6"/>
                <w:position w:val="1"/>
              </w:rPr>
              <w:t>（</w:t>
            </w:r>
            <w:r>
              <w:rPr>
                <w:rFonts w:ascii="Times New Roman" w:hAnsi="Times New Roman" w:eastAsia="Times New Roman" w:cs="Times New Roman"/>
                <w:color w:val="auto"/>
                <w:spacing w:val="6"/>
                <w:position w:val="1"/>
              </w:rPr>
              <w:t>%</w:t>
            </w:r>
            <w:r>
              <w:rPr>
                <w:color w:val="auto"/>
                <w:spacing w:val="6"/>
                <w:position w:val="1"/>
              </w:rPr>
              <w:t>）</w:t>
            </w:r>
          </w:p>
        </w:tc>
        <w:tc>
          <w:tcPr>
            <w:tcW w:w="2939" w:type="dxa"/>
          </w:tcPr>
          <w:p>
            <w:pPr>
              <w:pStyle w:val="8"/>
              <w:spacing w:before="0" w:line="240" w:lineRule="exact"/>
              <w:ind w:left="33" w:right="153" w:hanging="16"/>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室间质评合格项目数</w:t>
            </w:r>
            <w:r>
              <w:rPr>
                <w:rFonts w:ascii="Times New Roman" w:hAnsi="Times New Roman" w:eastAsia="Times New Roman" w:cs="Times New Roman"/>
                <w:color w:val="auto"/>
                <w:spacing w:val="8"/>
                <w:lang w:eastAsia="zh-CN"/>
              </w:rPr>
              <w:t>/</w:t>
            </w:r>
            <w:r>
              <w:rPr>
                <w:color w:val="auto"/>
                <w:spacing w:val="8"/>
                <w:lang w:eastAsia="zh-CN"/>
              </w:rPr>
              <w:t>同期参加</w:t>
            </w:r>
            <w:r>
              <w:rPr>
                <w:color w:val="auto"/>
                <w:spacing w:val="7"/>
                <w:lang w:eastAsia="zh-CN"/>
              </w:rPr>
              <w:t>室间质评检验项目总数</w:t>
            </w:r>
          </w:p>
        </w:tc>
        <w:tc>
          <w:tcPr>
            <w:tcW w:w="3944" w:type="dxa"/>
          </w:tcPr>
          <w:p>
            <w:pPr>
              <w:pStyle w:val="8"/>
              <w:spacing w:before="0" w:line="240" w:lineRule="exact"/>
              <w:ind w:left="23" w:right="125" w:firstLine="11"/>
              <w:rPr>
                <w:color w:val="auto"/>
                <w:lang w:eastAsia="zh-CN"/>
              </w:rPr>
            </w:pPr>
            <w:r>
              <w:rPr>
                <w:color w:val="auto"/>
                <w:spacing w:val="8"/>
                <w:lang w:eastAsia="zh-CN"/>
              </w:rPr>
              <w:t>室间质评合格项目数占同期参加室间质评检验项目总数的比例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22" w:right="13" w:hanging="7"/>
              <w:rPr>
                <w:color w:val="auto"/>
                <w:lang w:eastAsia="zh-CN"/>
              </w:rPr>
            </w:pPr>
            <w:r>
              <w:rPr>
                <w:color w:val="auto"/>
                <w:spacing w:val="2"/>
                <w:lang w:eastAsia="zh-CN"/>
              </w:rPr>
              <w:t>（六）千输血人次输血</w:t>
            </w:r>
            <w:r>
              <w:rPr>
                <w:color w:val="auto"/>
                <w:spacing w:val="8"/>
                <w:lang w:eastAsia="zh-CN"/>
              </w:rPr>
              <w:t>不良反应上报例数</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382"/>
              <w:rPr>
                <w:color w:val="auto"/>
              </w:rPr>
            </w:pPr>
            <w:r>
              <w:rPr>
                <w:color w:val="auto"/>
                <w:spacing w:val="4"/>
              </w:rPr>
              <w:t>例</w:t>
            </w:r>
          </w:p>
        </w:tc>
        <w:tc>
          <w:tcPr>
            <w:tcW w:w="2939" w:type="dxa"/>
          </w:tcPr>
          <w:p>
            <w:pPr>
              <w:pStyle w:val="8"/>
              <w:spacing w:before="0" w:line="240" w:lineRule="exact"/>
              <w:ind w:left="42" w:right="153" w:hanging="2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输血不良反应上报例数</w:t>
            </w:r>
            <w:r>
              <w:rPr>
                <w:rFonts w:ascii="Times New Roman" w:hAnsi="Times New Roman" w:eastAsia="Times New Roman" w:cs="Times New Roman"/>
                <w:color w:val="auto"/>
                <w:spacing w:val="8"/>
                <w:lang w:eastAsia="zh-CN"/>
              </w:rPr>
              <w:t>/</w:t>
            </w:r>
            <w:r>
              <w:rPr>
                <w:color w:val="auto"/>
                <w:spacing w:val="8"/>
                <w:lang w:eastAsia="zh-CN"/>
              </w:rPr>
              <w:t>单位时</w:t>
            </w:r>
            <w:r>
              <w:rPr>
                <w:color w:val="auto"/>
                <w:spacing w:val="3"/>
                <w:lang w:eastAsia="zh-CN"/>
              </w:rPr>
              <w:t>间内输血总人次</w:t>
            </w:r>
            <w:r>
              <w:rPr>
                <w:rFonts w:ascii="Times New Roman" w:hAnsi="Times New Roman" w:eastAsia="Times New Roman" w:cs="Times New Roman"/>
                <w:color w:val="auto"/>
                <w:spacing w:val="3"/>
                <w:lang w:eastAsia="zh-CN"/>
              </w:rPr>
              <w:t>×1000</w:t>
            </w:r>
          </w:p>
        </w:tc>
        <w:tc>
          <w:tcPr>
            <w:tcW w:w="3944" w:type="dxa"/>
          </w:tcPr>
          <w:p>
            <w:pPr>
              <w:pStyle w:val="8"/>
              <w:spacing w:before="0" w:line="240" w:lineRule="exact"/>
              <w:ind w:left="28" w:right="12" w:hanging="1"/>
              <w:rPr>
                <w:color w:val="auto"/>
                <w:lang w:eastAsia="zh-CN"/>
              </w:rPr>
            </w:pPr>
            <w:r>
              <w:rPr>
                <w:color w:val="auto"/>
                <w:spacing w:val="4"/>
                <w:lang w:eastAsia="zh-CN"/>
              </w:rPr>
              <w:t>单位时间内，每千输血人次中输血不良反应上</w:t>
            </w:r>
            <w:r>
              <w:rPr>
                <w:color w:val="auto"/>
                <w:spacing w:val="3"/>
                <w:lang w:eastAsia="zh-CN"/>
              </w:rPr>
              <w:t>报例数。</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8" w:right="13" w:hanging="3"/>
              <w:rPr>
                <w:color w:val="auto"/>
                <w:lang w:eastAsia="zh-CN"/>
              </w:rPr>
            </w:pPr>
            <w:r>
              <w:rPr>
                <w:color w:val="auto"/>
                <w:spacing w:val="2"/>
                <w:lang w:eastAsia="zh-CN"/>
              </w:rPr>
              <w:t>（七）一二级手术台均</w:t>
            </w:r>
            <w:r>
              <w:rPr>
                <w:color w:val="auto"/>
                <w:spacing w:val="7"/>
                <w:lang w:eastAsia="zh-CN"/>
              </w:rPr>
              <w:t>用血量</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before="0" w:line="240" w:lineRule="exact"/>
              <w:ind w:left="405"/>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5"/>
                <w:sz w:val="19"/>
                <w:szCs w:val="19"/>
              </w:rPr>
              <w:t>U</w:t>
            </w:r>
          </w:p>
        </w:tc>
        <w:tc>
          <w:tcPr>
            <w:tcW w:w="2939" w:type="dxa"/>
          </w:tcPr>
          <w:p>
            <w:pPr>
              <w:pStyle w:val="8"/>
              <w:spacing w:before="0" w:line="240" w:lineRule="exact"/>
              <w:ind w:left="41" w:right="152" w:hanging="24"/>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一级和二级手术用血总单位数</w:t>
            </w:r>
            <w:r>
              <w:rPr>
                <w:rFonts w:ascii="Times New Roman" w:hAnsi="Times New Roman" w:eastAsia="Times New Roman" w:cs="Times New Roman"/>
                <w:color w:val="auto"/>
                <w:spacing w:val="8"/>
                <w:lang w:eastAsia="zh-CN"/>
              </w:rPr>
              <w:t>/</w:t>
            </w:r>
            <w:r>
              <w:rPr>
                <w:color w:val="auto"/>
                <w:spacing w:val="7"/>
                <w:lang w:eastAsia="zh-CN"/>
              </w:rPr>
              <w:t>同期一级和二级手术总台次</w:t>
            </w:r>
          </w:p>
        </w:tc>
        <w:tc>
          <w:tcPr>
            <w:tcW w:w="3944" w:type="dxa"/>
          </w:tcPr>
          <w:p>
            <w:pPr>
              <w:pStyle w:val="8"/>
              <w:spacing w:before="0" w:line="240" w:lineRule="exact"/>
              <w:ind w:left="31" w:right="10" w:hanging="4"/>
              <w:rPr>
                <w:color w:val="auto"/>
                <w:lang w:eastAsia="zh-CN"/>
              </w:rPr>
            </w:pPr>
            <w:r>
              <w:rPr>
                <w:color w:val="auto"/>
                <w:spacing w:val="5"/>
                <w:lang w:eastAsia="zh-CN"/>
              </w:rPr>
              <w:t>单位时间一级和二级手术台均用血量。此处仅</w:t>
            </w:r>
            <w:r>
              <w:rPr>
                <w:color w:val="auto"/>
                <w:spacing w:val="8"/>
                <w:lang w:eastAsia="zh-CN"/>
              </w:rPr>
              <w:t>统计异体红细胞成分及全血用量。</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8" w:right="13" w:hanging="3"/>
              <w:rPr>
                <w:color w:val="auto"/>
                <w:lang w:eastAsia="zh-CN"/>
              </w:rPr>
            </w:pPr>
            <w:r>
              <w:rPr>
                <w:color w:val="auto"/>
                <w:spacing w:val="2"/>
                <w:lang w:eastAsia="zh-CN"/>
              </w:rPr>
              <w:t>（八）三四级手术台均</w:t>
            </w:r>
            <w:r>
              <w:rPr>
                <w:color w:val="auto"/>
                <w:spacing w:val="7"/>
                <w:lang w:eastAsia="zh-CN"/>
              </w:rPr>
              <w:t>用血量</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before="0" w:line="240" w:lineRule="exact"/>
              <w:ind w:left="405"/>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5"/>
                <w:sz w:val="19"/>
                <w:szCs w:val="19"/>
              </w:rPr>
              <w:t>U</w:t>
            </w:r>
          </w:p>
        </w:tc>
        <w:tc>
          <w:tcPr>
            <w:tcW w:w="2939" w:type="dxa"/>
          </w:tcPr>
          <w:p>
            <w:pPr>
              <w:pStyle w:val="8"/>
              <w:spacing w:before="0" w:line="240" w:lineRule="exact"/>
              <w:ind w:left="41" w:right="122" w:hanging="24"/>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三级和四级手术用血总单位数</w:t>
            </w:r>
            <w:r>
              <w:rPr>
                <w:rFonts w:ascii="Times New Roman" w:hAnsi="Times New Roman" w:eastAsia="Times New Roman" w:cs="Times New Roman"/>
                <w:color w:val="auto"/>
                <w:spacing w:val="8"/>
                <w:lang w:eastAsia="zh-CN"/>
              </w:rPr>
              <w:t>/</w:t>
            </w:r>
            <w:r>
              <w:rPr>
                <w:color w:val="auto"/>
                <w:spacing w:val="7"/>
                <w:lang w:eastAsia="zh-CN"/>
              </w:rPr>
              <w:t>同期三级和四级手术手术总台次</w:t>
            </w:r>
          </w:p>
        </w:tc>
        <w:tc>
          <w:tcPr>
            <w:tcW w:w="3944" w:type="dxa"/>
          </w:tcPr>
          <w:p>
            <w:pPr>
              <w:pStyle w:val="8"/>
              <w:spacing w:before="0" w:line="240" w:lineRule="exact"/>
              <w:ind w:left="31" w:right="10" w:hanging="4"/>
              <w:rPr>
                <w:color w:val="auto"/>
                <w:lang w:eastAsia="zh-CN"/>
              </w:rPr>
            </w:pPr>
            <w:r>
              <w:rPr>
                <w:color w:val="auto"/>
                <w:spacing w:val="5"/>
                <w:lang w:eastAsia="zh-CN"/>
              </w:rPr>
              <w:t>单位时间三级和四级手术台均用血量。此处仅</w:t>
            </w:r>
            <w:r>
              <w:rPr>
                <w:color w:val="auto"/>
                <w:spacing w:val="8"/>
                <w:lang w:eastAsia="zh-CN"/>
              </w:rPr>
              <w:t>统计异体红细胞成分及全血用量。</w:t>
            </w:r>
          </w:p>
        </w:tc>
        <w:tc>
          <w:tcPr>
            <w:tcW w:w="1177" w:type="dxa"/>
          </w:tcPr>
          <w:p>
            <w:pPr>
              <w:pStyle w:val="8"/>
              <w:spacing w:before="0" w:line="240" w:lineRule="exact"/>
              <w:ind w:left="200"/>
              <w:rPr>
                <w:color w:val="auto"/>
              </w:rPr>
            </w:pPr>
            <w:r>
              <w:rPr>
                <w:color w:val="auto"/>
                <w:spacing w:val="6"/>
              </w:rPr>
              <w:t>监测比较</w:t>
            </w:r>
          </w:p>
        </w:tc>
      </w:tr>
    </w:tbl>
    <w:p>
      <w:pPr>
        <w:autoSpaceDE/>
        <w:autoSpaceDN/>
        <w:spacing w:line="20" w:lineRule="exact"/>
        <w:rPr>
          <w:color w:val="auto"/>
          <w:sz w:val="19"/>
        </w:rPr>
      </w:pPr>
    </w:p>
    <w:p>
      <w:pPr>
        <w:autoSpaceDE/>
        <w:autoSpaceDN/>
        <w:spacing w:line="20" w:lineRule="exact"/>
        <w:rPr>
          <w:color w:val="auto"/>
          <w:sz w:val="19"/>
          <w:szCs w:val="19"/>
        </w:rPr>
        <w:sectPr>
          <w:footerReference r:id="rId34"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69" w:type="dxa"/>
          </w:tcPr>
          <w:p>
            <w:pPr>
              <w:spacing w:line="240" w:lineRule="exact"/>
              <w:rPr>
                <w:color w:val="auto"/>
              </w:rPr>
            </w:pPr>
          </w:p>
        </w:tc>
        <w:tc>
          <w:tcPr>
            <w:tcW w:w="1957" w:type="dxa"/>
            <w:gridSpan w:val="2"/>
          </w:tcPr>
          <w:p>
            <w:pPr>
              <w:pStyle w:val="8"/>
              <w:spacing w:before="0" w:line="240" w:lineRule="exact"/>
              <w:ind w:left="18" w:right="14" w:hanging="3"/>
              <w:rPr>
                <w:color w:val="auto"/>
              </w:rPr>
            </w:pPr>
            <w:r>
              <w:rPr>
                <w:color w:val="auto"/>
                <w:spacing w:val="2"/>
              </w:rPr>
              <w:t>（九）出院患者人均用</w:t>
            </w:r>
            <w:r>
              <w:rPr>
                <w:color w:val="auto"/>
                <w:spacing w:val="5"/>
              </w:rPr>
              <w:t>血量</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before="0" w:line="240" w:lineRule="exact"/>
              <w:ind w:left="404"/>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5"/>
                <w:sz w:val="19"/>
                <w:szCs w:val="19"/>
              </w:rPr>
              <w:t>U</w:t>
            </w:r>
          </w:p>
        </w:tc>
        <w:tc>
          <w:tcPr>
            <w:tcW w:w="2939" w:type="dxa"/>
          </w:tcPr>
          <w:p>
            <w:pPr>
              <w:pStyle w:val="8"/>
              <w:spacing w:before="0" w:line="240" w:lineRule="exact"/>
              <w:ind w:left="34" w:right="154" w:hanging="18"/>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出院患者用血总单位数</w:t>
            </w:r>
            <w:r>
              <w:rPr>
                <w:rFonts w:ascii="Times New Roman" w:hAnsi="Times New Roman" w:eastAsia="Times New Roman" w:cs="Times New Roman"/>
                <w:color w:val="auto"/>
                <w:spacing w:val="8"/>
                <w:lang w:eastAsia="zh-CN"/>
              </w:rPr>
              <w:t>/</w:t>
            </w:r>
            <w:r>
              <w:rPr>
                <w:color w:val="auto"/>
                <w:spacing w:val="8"/>
                <w:lang w:eastAsia="zh-CN"/>
              </w:rPr>
              <w:t>同期出</w:t>
            </w:r>
            <w:r>
              <w:rPr>
                <w:color w:val="auto"/>
                <w:spacing w:val="5"/>
                <w:lang w:eastAsia="zh-CN"/>
              </w:rPr>
              <w:t>院患者人次</w:t>
            </w:r>
          </w:p>
        </w:tc>
        <w:tc>
          <w:tcPr>
            <w:tcW w:w="3943" w:type="dxa"/>
          </w:tcPr>
          <w:p>
            <w:pPr>
              <w:pStyle w:val="8"/>
              <w:spacing w:before="0" w:line="240" w:lineRule="exact"/>
              <w:ind w:left="16" w:right="10" w:firstLine="9"/>
              <w:rPr>
                <w:color w:val="auto"/>
                <w:lang w:eastAsia="zh-CN"/>
              </w:rPr>
            </w:pPr>
            <w:r>
              <w:rPr>
                <w:color w:val="auto"/>
                <w:spacing w:val="5"/>
                <w:lang w:eastAsia="zh-CN"/>
              </w:rPr>
              <w:t>单位时间出院患者人均用血量。此处仅统计异</w:t>
            </w:r>
            <w:r>
              <w:rPr>
                <w:color w:val="auto"/>
                <w:spacing w:val="8"/>
                <w:lang w:eastAsia="zh-CN"/>
              </w:rPr>
              <w:t>体红细胞成分及全血用量。</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1269" w:type="dxa"/>
            <w:vMerge w:val="restart"/>
            <w:tcBorders>
              <w:bottom w:val="nil"/>
            </w:tcBorders>
          </w:tcPr>
          <w:p>
            <w:pPr>
              <w:pStyle w:val="8"/>
              <w:spacing w:before="0" w:line="240" w:lineRule="exact"/>
              <w:ind w:left="25" w:right="15" w:firstLine="4"/>
              <w:jc w:val="both"/>
              <w:rPr>
                <w:color w:val="auto"/>
                <w:lang w:eastAsia="zh-CN"/>
              </w:rPr>
            </w:pPr>
            <w:r>
              <w:rPr>
                <w:color w:val="auto"/>
                <w:spacing w:val="13"/>
                <w:lang w:eastAsia="zh-CN"/>
              </w:rPr>
              <w:t>五、护理专业医疗质量控制</w:t>
            </w:r>
            <w:r>
              <w:rPr>
                <w:color w:val="auto"/>
                <w:spacing w:val="4"/>
                <w:lang w:eastAsia="zh-CN"/>
              </w:rPr>
              <w:t>指标</w:t>
            </w:r>
          </w:p>
        </w:tc>
        <w:tc>
          <w:tcPr>
            <w:tcW w:w="1957" w:type="dxa"/>
            <w:gridSpan w:val="2"/>
          </w:tcPr>
          <w:p>
            <w:pPr>
              <w:pStyle w:val="8"/>
              <w:spacing w:before="0" w:line="240" w:lineRule="exact"/>
              <w:ind w:left="15"/>
              <w:rPr>
                <w:color w:val="auto"/>
              </w:rPr>
            </w:pPr>
            <w:r>
              <w:rPr>
                <w:color w:val="auto"/>
                <w:spacing w:val="3"/>
              </w:rPr>
              <w:t>（一）病区床护比</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278"/>
              <w:rPr>
                <w:rFonts w:ascii="Times New Roman" w:hAnsi="Times New Roman" w:eastAsia="Times New Roman" w:cs="Times New Roman"/>
                <w:color w:val="auto"/>
              </w:rPr>
            </w:pPr>
            <w:r>
              <w:rPr>
                <w:rFonts w:ascii="Times New Roman" w:hAnsi="Times New Roman" w:eastAsia="Times New Roman" w:cs="Times New Roman"/>
                <w:color w:val="auto"/>
                <w:spacing w:val="-1"/>
              </w:rPr>
              <w:t>1</w:t>
            </w:r>
            <w:r>
              <w:rPr>
                <w:color w:val="auto"/>
                <w:spacing w:val="-1"/>
              </w:rPr>
              <w:t>：</w:t>
            </w:r>
            <w:r>
              <w:rPr>
                <w:rFonts w:ascii="Times New Roman" w:hAnsi="Times New Roman" w:eastAsia="Times New Roman" w:cs="Times New Roman"/>
                <w:color w:val="auto"/>
                <w:spacing w:val="-1"/>
              </w:rPr>
              <w:t>X</w:t>
            </w:r>
          </w:p>
        </w:tc>
        <w:tc>
          <w:tcPr>
            <w:tcW w:w="2939" w:type="dxa"/>
          </w:tcPr>
          <w:p>
            <w:pPr>
              <w:pStyle w:val="8"/>
              <w:spacing w:before="0" w:line="240" w:lineRule="exact"/>
              <w:ind w:left="21" w:right="46"/>
              <w:jc w:val="both"/>
              <w:rPr>
                <w:color w:val="auto"/>
                <w:lang w:eastAsia="zh-CN"/>
              </w:rPr>
            </w:pPr>
            <w:r>
              <w:rPr>
                <w:color w:val="auto"/>
                <w:spacing w:val="5"/>
                <w:lang w:eastAsia="zh-CN"/>
              </w:rPr>
              <w:t>病区床护比</w:t>
            </w:r>
            <w:r>
              <w:rPr>
                <w:rFonts w:ascii="Times New Roman" w:hAnsi="Times New Roman" w:eastAsia="Times New Roman" w:cs="Times New Roman"/>
                <w:color w:val="auto"/>
                <w:spacing w:val="5"/>
                <w:lang w:eastAsia="zh-CN"/>
              </w:rPr>
              <w:t>(1</w:t>
            </w:r>
            <w:r>
              <w:rPr>
                <w:color w:val="auto"/>
                <w:spacing w:val="5"/>
                <w:lang w:eastAsia="zh-CN"/>
              </w:rPr>
              <w:t>：</w:t>
            </w:r>
            <w:r>
              <w:rPr>
                <w:rFonts w:ascii="Times New Roman" w:hAnsi="Times New Roman" w:eastAsia="Times New Roman" w:cs="Times New Roman"/>
                <w:color w:val="auto"/>
                <w:spacing w:val="5"/>
                <w:lang w:eastAsia="zh-CN"/>
              </w:rPr>
              <w:t>X)</w:t>
            </w:r>
            <w:r>
              <w:rPr>
                <w:color w:val="auto"/>
                <w:spacing w:val="5"/>
                <w:lang w:eastAsia="zh-CN"/>
              </w:rPr>
              <w:t>＝</w:t>
            </w:r>
            <w:r>
              <w:rPr>
                <w:rFonts w:ascii="Times New Roman" w:hAnsi="Times New Roman" w:eastAsia="Times New Roman" w:cs="Times New Roman"/>
                <w:color w:val="auto"/>
                <w:spacing w:val="5"/>
                <w:lang w:eastAsia="zh-CN"/>
              </w:rPr>
              <w:t>1</w:t>
            </w:r>
            <w:r>
              <w:rPr>
                <w:color w:val="auto"/>
                <w:spacing w:val="5"/>
                <w:lang w:eastAsia="zh-CN"/>
              </w:rPr>
              <w:t>：医疗机构</w:t>
            </w:r>
            <w:r>
              <w:rPr>
                <w:color w:val="auto"/>
                <w:spacing w:val="8"/>
                <w:lang w:eastAsia="zh-CN"/>
              </w:rPr>
              <w:t>病区执业护士人数</w:t>
            </w:r>
            <w:r>
              <w:rPr>
                <w:rFonts w:ascii="Times New Roman" w:hAnsi="Times New Roman" w:eastAsia="Times New Roman" w:cs="Times New Roman"/>
                <w:color w:val="auto"/>
                <w:spacing w:val="8"/>
                <w:lang w:eastAsia="zh-CN"/>
              </w:rPr>
              <w:t>/</w:t>
            </w:r>
            <w:r>
              <w:rPr>
                <w:color w:val="auto"/>
                <w:spacing w:val="8"/>
                <w:lang w:eastAsia="zh-CN"/>
              </w:rPr>
              <w:t>同期实际开放</w:t>
            </w:r>
            <w:r>
              <w:rPr>
                <w:color w:val="auto"/>
                <w:spacing w:val="6"/>
                <w:lang w:eastAsia="zh-CN"/>
              </w:rPr>
              <w:t>床位数</w:t>
            </w:r>
          </w:p>
        </w:tc>
        <w:tc>
          <w:tcPr>
            <w:tcW w:w="3943" w:type="dxa"/>
          </w:tcPr>
          <w:p>
            <w:pPr>
              <w:pStyle w:val="8"/>
              <w:spacing w:before="0" w:line="240" w:lineRule="exact"/>
              <w:ind w:left="21" w:right="12" w:firstLine="4"/>
              <w:rPr>
                <w:color w:val="auto"/>
                <w:lang w:eastAsia="zh-CN"/>
              </w:rPr>
            </w:pPr>
            <w:r>
              <w:rPr>
                <w:color w:val="auto"/>
                <w:spacing w:val="4"/>
                <w:lang w:eastAsia="zh-CN"/>
              </w:rPr>
              <w:t>单位时间内，医疗机构实际开放床位与医疗机</w:t>
            </w:r>
            <w:r>
              <w:rPr>
                <w:color w:val="auto"/>
                <w:spacing w:val="8"/>
                <w:lang w:eastAsia="zh-CN"/>
              </w:rPr>
              <w:t>构病区执业护士人数的比。</w:t>
            </w:r>
          </w:p>
          <w:p>
            <w:pPr>
              <w:pStyle w:val="8"/>
              <w:spacing w:before="0" w:line="240" w:lineRule="exact"/>
              <w:ind w:left="38" w:right="12" w:hanging="17"/>
              <w:rPr>
                <w:color w:val="auto"/>
                <w:lang w:eastAsia="zh-CN"/>
              </w:rPr>
            </w:pPr>
            <w:r>
              <w:rPr>
                <w:color w:val="auto"/>
                <w:spacing w:val="5"/>
                <w:lang w:eastAsia="zh-CN"/>
              </w:rPr>
              <w:t>说明：病区指医疗机构有实际住院床位的病区</w:t>
            </w:r>
            <w:r>
              <w:rPr>
                <w:color w:val="auto"/>
                <w:spacing w:val="6"/>
                <w:lang w:eastAsia="zh-CN"/>
              </w:rPr>
              <w:t>的总称（包含重症医学科）。</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9" w:type="dxa"/>
            <w:vMerge w:val="continue"/>
            <w:tcBorders>
              <w:top w:val="nil"/>
              <w:bottom w:val="nil"/>
            </w:tcBorders>
          </w:tcPr>
          <w:p>
            <w:pPr>
              <w:spacing w:line="240" w:lineRule="exact"/>
              <w:rPr>
                <w:color w:val="auto"/>
              </w:rPr>
            </w:pPr>
          </w:p>
        </w:tc>
        <w:tc>
          <w:tcPr>
            <w:tcW w:w="1957" w:type="dxa"/>
            <w:gridSpan w:val="2"/>
          </w:tcPr>
          <w:p>
            <w:pPr>
              <w:pStyle w:val="8"/>
              <w:spacing w:before="0" w:line="240" w:lineRule="exact"/>
              <w:ind w:left="23" w:right="14" w:hanging="8"/>
              <w:rPr>
                <w:color w:val="auto"/>
                <w:lang w:eastAsia="zh-CN"/>
              </w:rPr>
            </w:pPr>
            <w:r>
              <w:rPr>
                <w:color w:val="auto"/>
                <w:spacing w:val="-3"/>
                <w:lang w:eastAsia="zh-CN"/>
              </w:rPr>
              <w:t>（二）中级技术职称以</w:t>
            </w:r>
            <w:r>
              <w:rPr>
                <w:color w:val="auto"/>
                <w:spacing w:val="8"/>
                <w:lang w:eastAsia="zh-CN"/>
              </w:rPr>
              <w:t>上护士配置占比</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5" w:right="123" w:firstLine="42"/>
              <w:rPr>
                <w:color w:val="auto"/>
                <w:lang w:eastAsia="zh-CN"/>
              </w:rPr>
            </w:pPr>
            <w:r>
              <w:rPr>
                <w:color w:val="auto"/>
                <w:spacing w:val="12"/>
                <w:lang w:eastAsia="zh-CN"/>
              </w:rPr>
              <w:t>=病区中级技术职称以上护士人</w:t>
            </w:r>
            <w:r>
              <w:rPr>
                <w:color w:val="auto"/>
                <w:spacing w:val="8"/>
                <w:lang w:eastAsia="zh-CN"/>
              </w:rPr>
              <w:t>数</w:t>
            </w:r>
            <w:r>
              <w:rPr>
                <w:rFonts w:ascii="Times New Roman" w:hAnsi="Times New Roman" w:eastAsia="Times New Roman" w:cs="Times New Roman"/>
                <w:color w:val="auto"/>
                <w:spacing w:val="8"/>
                <w:lang w:eastAsia="zh-CN"/>
              </w:rPr>
              <w:t>/</w:t>
            </w:r>
            <w:r>
              <w:rPr>
                <w:color w:val="auto"/>
                <w:spacing w:val="8"/>
                <w:lang w:eastAsia="zh-CN"/>
              </w:rPr>
              <w:t>同期病区执业护士总人数</w:t>
            </w:r>
          </w:p>
          <w:p>
            <w:pPr>
              <w:spacing w:line="240" w:lineRule="exact"/>
              <w:ind w:left="28"/>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sz w:val="19"/>
                <w:szCs w:val="19"/>
              </w:rPr>
              <w:t>×100%</w:t>
            </w:r>
          </w:p>
        </w:tc>
        <w:tc>
          <w:tcPr>
            <w:tcW w:w="3943" w:type="dxa"/>
          </w:tcPr>
          <w:p>
            <w:pPr>
              <w:pStyle w:val="8"/>
              <w:spacing w:before="0" w:line="240" w:lineRule="exact"/>
              <w:ind w:left="29" w:right="12" w:hanging="3"/>
              <w:rPr>
                <w:color w:val="auto"/>
                <w:lang w:eastAsia="zh-CN"/>
              </w:rPr>
            </w:pPr>
            <w:r>
              <w:rPr>
                <w:color w:val="auto"/>
                <w:spacing w:val="4"/>
                <w:lang w:eastAsia="zh-CN"/>
              </w:rPr>
              <w:t>单位时间内，在病区工作中级技术职称以上护</w:t>
            </w:r>
            <w:r>
              <w:rPr>
                <w:color w:val="auto"/>
                <w:spacing w:val="8"/>
                <w:lang w:eastAsia="zh-CN"/>
              </w:rPr>
              <w:t>士人数占同期病区执业护士总人数的比例。</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rPr>
            </w:pPr>
          </w:p>
          <w:p>
            <w:pPr>
              <w:spacing w:line="240" w:lineRule="exact"/>
              <w:rPr>
                <w:color w:val="auto"/>
              </w:rPr>
            </w:pPr>
          </w:p>
          <w:p>
            <w:pPr>
              <w:pStyle w:val="8"/>
              <w:spacing w:before="0" w:line="240" w:lineRule="exact"/>
              <w:ind w:left="15"/>
              <w:rPr>
                <w:color w:val="auto"/>
              </w:rPr>
            </w:pPr>
            <w:r>
              <w:rPr>
                <w:color w:val="auto"/>
                <w:spacing w:val="9"/>
              </w:rPr>
              <w:t>（三）护士离职率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8" w:right="12" w:hanging="12"/>
              <w:rPr>
                <w:color w:val="auto"/>
                <w:lang w:eastAsia="zh-CN"/>
              </w:rPr>
            </w:pPr>
            <w:r>
              <w:rPr>
                <w:rFonts w:ascii="Times New Roman" w:hAnsi="Times New Roman" w:eastAsia="Times New Roman" w:cs="Times New Roman"/>
                <w:color w:val="auto"/>
                <w:spacing w:val="5"/>
                <w:lang w:eastAsia="zh-CN"/>
              </w:rPr>
              <w:t>=</w:t>
            </w:r>
            <w:r>
              <w:rPr>
                <w:color w:val="auto"/>
                <w:spacing w:val="5"/>
                <w:lang w:eastAsia="zh-CN"/>
              </w:rPr>
              <w:t>护士离职人数</w:t>
            </w:r>
            <w:r>
              <w:rPr>
                <w:rFonts w:ascii="Times New Roman" w:hAnsi="Times New Roman" w:eastAsia="Times New Roman" w:cs="Times New Roman"/>
                <w:color w:val="auto"/>
                <w:spacing w:val="5"/>
                <w:lang w:eastAsia="zh-CN"/>
              </w:rPr>
              <w:t>/</w:t>
            </w:r>
            <w:r>
              <w:rPr>
                <w:color w:val="auto"/>
                <w:spacing w:val="5"/>
                <w:lang w:eastAsia="zh-CN"/>
              </w:rPr>
              <w:t>（期初医疗机构执</w:t>
            </w:r>
            <w:r>
              <w:rPr>
                <w:color w:val="auto"/>
                <w:spacing w:val="8"/>
                <w:lang w:eastAsia="zh-CN"/>
              </w:rPr>
              <w:t>业护士总人数</w:t>
            </w:r>
            <w:r>
              <w:rPr>
                <w:rFonts w:ascii="Times New Roman" w:hAnsi="Times New Roman" w:eastAsia="Times New Roman" w:cs="Times New Roman"/>
                <w:color w:val="auto"/>
                <w:spacing w:val="8"/>
                <w:lang w:eastAsia="zh-CN"/>
              </w:rPr>
              <w:t>+</w:t>
            </w:r>
            <w:r>
              <w:rPr>
                <w:color w:val="auto"/>
                <w:spacing w:val="8"/>
                <w:lang w:eastAsia="zh-CN"/>
              </w:rPr>
              <w:t>期末医疗机构执</w:t>
            </w:r>
          </w:p>
          <w:p>
            <w:pPr>
              <w:pStyle w:val="8"/>
              <w:spacing w:line="240" w:lineRule="exact"/>
              <w:ind w:left="28"/>
              <w:rPr>
                <w:rFonts w:ascii="Times New Roman" w:hAnsi="Times New Roman" w:eastAsia="Times New Roman" w:cs="Times New Roman"/>
                <w:color w:val="auto"/>
              </w:rPr>
            </w:pPr>
            <w:r>
              <w:rPr>
                <w:color w:val="auto"/>
                <w:spacing w:val="3"/>
                <w:position w:val="1"/>
              </w:rPr>
              <w:t>业护士总人数）</w:t>
            </w:r>
            <w:r>
              <w:rPr>
                <w:rFonts w:ascii="Times New Roman" w:hAnsi="Times New Roman" w:eastAsia="Times New Roman" w:cs="Times New Roman"/>
                <w:color w:val="auto"/>
                <w:spacing w:val="3"/>
                <w:position w:val="1"/>
              </w:rPr>
              <w:t>/2×100%</w:t>
            </w:r>
          </w:p>
        </w:tc>
        <w:tc>
          <w:tcPr>
            <w:tcW w:w="3943" w:type="dxa"/>
          </w:tcPr>
          <w:p>
            <w:pPr>
              <w:pStyle w:val="8"/>
              <w:spacing w:before="0" w:line="240" w:lineRule="exact"/>
              <w:ind w:left="29" w:right="12" w:hanging="3"/>
              <w:rPr>
                <w:color w:val="auto"/>
                <w:lang w:eastAsia="zh-CN"/>
              </w:rPr>
            </w:pPr>
            <w:r>
              <w:rPr>
                <w:color w:val="auto"/>
                <w:spacing w:val="4"/>
                <w:lang w:eastAsia="zh-CN"/>
              </w:rPr>
              <w:t>单位时间内，某医疗机构护士离职人数与执业</w:t>
            </w:r>
            <w:r>
              <w:rPr>
                <w:color w:val="auto"/>
                <w:spacing w:val="6"/>
                <w:lang w:eastAsia="zh-CN"/>
              </w:rPr>
              <w:t>护士总人数的比例。</w:t>
            </w:r>
          </w:p>
          <w:p>
            <w:pPr>
              <w:pStyle w:val="8"/>
              <w:spacing w:before="0" w:line="240" w:lineRule="exact"/>
              <w:ind w:left="26" w:right="10" w:firstLine="6"/>
              <w:jc w:val="both"/>
              <w:rPr>
                <w:color w:val="auto"/>
                <w:lang w:eastAsia="zh-CN"/>
              </w:rPr>
            </w:pPr>
            <w:r>
              <w:rPr>
                <w:color w:val="auto"/>
                <w:spacing w:val="4"/>
                <w:lang w:eastAsia="zh-CN"/>
              </w:rPr>
              <w:t>离职：指自愿离职。排除：因退休、死亡或被</w:t>
            </w:r>
            <w:r>
              <w:rPr>
                <w:color w:val="auto"/>
                <w:spacing w:val="5"/>
                <w:lang w:eastAsia="zh-CN"/>
              </w:rPr>
              <w:t>辞退而离开医疗机构的护士；在同一医疗机构</w:t>
            </w:r>
            <w:r>
              <w:rPr>
                <w:color w:val="auto"/>
                <w:spacing w:val="7"/>
                <w:lang w:eastAsia="zh-CN"/>
              </w:rPr>
              <w:t>岗位调整的护士。</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7" w:type="dxa"/>
            <w:gridSpan w:val="2"/>
          </w:tcPr>
          <w:p>
            <w:pPr>
              <w:pStyle w:val="8"/>
              <w:spacing w:before="0" w:line="240" w:lineRule="exact"/>
              <w:ind w:left="22" w:right="14" w:hanging="7"/>
              <w:rPr>
                <w:color w:val="auto"/>
                <w:lang w:eastAsia="zh-CN"/>
              </w:rPr>
            </w:pPr>
            <w:r>
              <w:rPr>
                <w:color w:val="auto"/>
                <w:spacing w:val="2"/>
                <w:lang w:eastAsia="zh-CN"/>
              </w:rPr>
              <w:t>（四）住院患者身体约</w:t>
            </w:r>
            <w:r>
              <w:rPr>
                <w:color w:val="auto"/>
                <w:spacing w:val="3"/>
                <w:lang w:eastAsia="zh-CN"/>
              </w:rPr>
              <w:t>束率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4" w:right="68" w:firstLine="34"/>
              <w:rPr>
                <w:rFonts w:ascii="Times New Roman" w:hAnsi="Times New Roman" w:eastAsia="Times New Roman" w:cs="Times New Roman"/>
                <w:color w:val="auto"/>
                <w:lang w:eastAsia="zh-CN"/>
              </w:rPr>
            </w:pPr>
            <w:r>
              <w:rPr>
                <w:color w:val="auto"/>
                <w:spacing w:val="11"/>
                <w:lang w:eastAsia="zh-CN"/>
              </w:rPr>
              <w:t>=住院患者身体约束日数</w:t>
            </w:r>
            <w:r>
              <w:rPr>
                <w:rFonts w:ascii="Times New Roman" w:hAnsi="Times New Roman" w:eastAsia="Times New Roman" w:cs="Times New Roman"/>
                <w:color w:val="auto"/>
                <w:spacing w:val="11"/>
                <w:lang w:eastAsia="zh-CN"/>
              </w:rPr>
              <w:t>/</w:t>
            </w:r>
            <w:r>
              <w:rPr>
                <w:color w:val="auto"/>
                <w:spacing w:val="11"/>
                <w:lang w:eastAsia="zh-CN"/>
              </w:rPr>
              <w:t>同期住</w:t>
            </w:r>
            <w:r>
              <w:rPr>
                <w:color w:val="auto"/>
                <w:spacing w:val="5"/>
                <w:lang w:eastAsia="zh-CN"/>
              </w:rPr>
              <w:t>院患者实际占用床日数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2" w:right="12" w:firstLine="3"/>
              <w:rPr>
                <w:color w:val="auto"/>
                <w:lang w:eastAsia="zh-CN"/>
              </w:rPr>
            </w:pPr>
            <w:r>
              <w:rPr>
                <w:color w:val="auto"/>
                <w:spacing w:val="4"/>
                <w:lang w:eastAsia="zh-CN"/>
              </w:rPr>
              <w:t>单位时间内，住院患者身体约束日数与住院患</w:t>
            </w:r>
            <w:r>
              <w:rPr>
                <w:color w:val="auto"/>
                <w:spacing w:val="8"/>
                <w:lang w:eastAsia="zh-CN"/>
              </w:rPr>
              <w:t>者实际占用床日数的比例。</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trPr>
        <w:tc>
          <w:tcPr>
            <w:tcW w:w="1269" w:type="dxa"/>
            <w:vMerge w:val="continue"/>
            <w:tcBorders>
              <w:top w:val="nil"/>
              <w:bottom w:val="nil"/>
            </w:tcBorders>
          </w:tcPr>
          <w:p>
            <w:pPr>
              <w:spacing w:line="240" w:lineRule="exact"/>
              <w:rPr>
                <w:color w:val="auto"/>
              </w:rPr>
            </w:pPr>
          </w:p>
        </w:tc>
        <w:tc>
          <w:tcPr>
            <w:tcW w:w="895"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4" w:right="15"/>
              <w:jc w:val="both"/>
              <w:rPr>
                <w:color w:val="auto"/>
                <w:lang w:eastAsia="zh-CN"/>
              </w:rPr>
            </w:pPr>
            <w:r>
              <w:rPr>
                <w:color w:val="auto"/>
                <w:spacing w:val="8"/>
                <w:lang w:eastAsia="zh-CN"/>
              </w:rPr>
              <w:t>（五）住</w:t>
            </w:r>
            <w:r>
              <w:rPr>
                <w:color w:val="auto"/>
                <w:spacing w:val="24"/>
                <w:lang w:eastAsia="zh-CN"/>
              </w:rPr>
              <w:t>院患者跌</w:t>
            </w:r>
            <w:r>
              <w:rPr>
                <w:color w:val="auto"/>
                <w:spacing w:val="8"/>
                <w:lang w:eastAsia="zh-CN"/>
              </w:rPr>
              <w:t>倒发生率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14" w:firstLine="13"/>
              <w:rPr>
                <w:color w:val="auto"/>
              </w:rPr>
            </w:pPr>
            <w:r>
              <w:rPr>
                <w:rFonts w:ascii="Times New Roman" w:hAnsi="Times New Roman" w:eastAsia="Times New Roman" w:cs="Times New Roman"/>
                <w:color w:val="auto"/>
                <w:spacing w:val="12"/>
              </w:rPr>
              <w:t>1.</w:t>
            </w:r>
            <w:r>
              <w:rPr>
                <w:color w:val="auto"/>
                <w:spacing w:val="12"/>
              </w:rPr>
              <w:t>住院患者</w:t>
            </w:r>
            <w:r>
              <w:rPr>
                <w:color w:val="auto"/>
                <w:spacing w:val="7"/>
              </w:rPr>
              <w:t>跌倒发生率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ight="154"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住院患者跌倒例次数</w:t>
            </w:r>
            <w:r>
              <w:rPr>
                <w:rFonts w:ascii="Times New Roman" w:hAnsi="Times New Roman" w:eastAsia="Times New Roman" w:cs="Times New Roman"/>
                <w:color w:val="auto"/>
                <w:spacing w:val="8"/>
                <w:lang w:eastAsia="zh-CN"/>
              </w:rPr>
              <w:t>/</w:t>
            </w:r>
            <w:r>
              <w:rPr>
                <w:color w:val="auto"/>
                <w:spacing w:val="8"/>
                <w:lang w:eastAsia="zh-CN"/>
              </w:rPr>
              <w:t>同期住院</w:t>
            </w:r>
            <w:r>
              <w:rPr>
                <w:color w:val="auto"/>
                <w:spacing w:val="5"/>
                <w:lang w:eastAsia="zh-CN"/>
              </w:rPr>
              <w:t>患者实际占用床日数</w:t>
            </w:r>
            <w:r>
              <w:rPr>
                <w:rFonts w:ascii="Times New Roman" w:hAnsi="Times New Roman" w:eastAsia="Times New Roman" w:cs="Times New Roman"/>
                <w:color w:val="auto"/>
                <w:spacing w:val="5"/>
                <w:lang w:eastAsia="zh-CN"/>
              </w:rPr>
              <w:t>×1000‰</w:t>
            </w:r>
          </w:p>
        </w:tc>
        <w:tc>
          <w:tcPr>
            <w:tcW w:w="3943" w:type="dxa"/>
          </w:tcPr>
          <w:p>
            <w:pPr>
              <w:pStyle w:val="8"/>
              <w:spacing w:before="0" w:line="240" w:lineRule="exact"/>
              <w:ind w:left="23" w:right="12" w:firstLine="2"/>
              <w:jc w:val="both"/>
              <w:rPr>
                <w:color w:val="auto"/>
                <w:lang w:eastAsia="zh-CN"/>
              </w:rPr>
            </w:pPr>
            <w:r>
              <w:rPr>
                <w:color w:val="auto"/>
                <w:spacing w:val="4"/>
                <w:lang w:eastAsia="zh-CN"/>
              </w:rPr>
              <w:t>单位时间内，住院患者发生跌倒例次数（包括</w:t>
            </w:r>
            <w:r>
              <w:rPr>
                <w:color w:val="auto"/>
                <w:spacing w:val="5"/>
                <w:lang w:eastAsia="zh-CN"/>
              </w:rPr>
              <w:t>造成或未造成伤害）与住院患者实际占用床日</w:t>
            </w:r>
            <w:r>
              <w:rPr>
                <w:color w:val="auto"/>
                <w:spacing w:val="6"/>
                <w:lang w:eastAsia="zh-CN"/>
              </w:rPr>
              <w:t>数的千分比。</w:t>
            </w:r>
          </w:p>
          <w:p>
            <w:pPr>
              <w:pStyle w:val="8"/>
              <w:spacing w:before="0" w:line="240" w:lineRule="exact"/>
              <w:ind w:left="18" w:right="10" w:firstLine="3"/>
              <w:jc w:val="both"/>
              <w:rPr>
                <w:color w:val="auto"/>
                <w:lang w:eastAsia="zh-CN"/>
              </w:rPr>
            </w:pPr>
            <w:r>
              <w:rPr>
                <w:color w:val="auto"/>
                <w:spacing w:val="5"/>
                <w:lang w:eastAsia="zh-CN"/>
              </w:rPr>
              <w:t>说明：统计住院患者在医疗机构任何场所发生的跌倒例次数。同一患者多次跌倒按实际发生</w:t>
            </w:r>
            <w:r>
              <w:rPr>
                <w:color w:val="auto"/>
                <w:spacing w:val="6"/>
                <w:lang w:eastAsia="zh-CN"/>
              </w:rPr>
              <w:t>例次计算。</w:t>
            </w:r>
          </w:p>
          <w:p>
            <w:pPr>
              <w:pStyle w:val="8"/>
              <w:spacing w:before="0" w:line="240" w:lineRule="exact"/>
              <w:ind w:left="15"/>
              <w:rPr>
                <w:color w:val="auto"/>
                <w:lang w:eastAsia="zh-CN"/>
              </w:rPr>
            </w:pPr>
            <w:r>
              <w:rPr>
                <w:color w:val="auto"/>
                <w:spacing w:val="7"/>
                <w:lang w:eastAsia="zh-CN"/>
              </w:rPr>
              <w:t>包含：坠床。</w:t>
            </w:r>
          </w:p>
          <w:p>
            <w:pPr>
              <w:pStyle w:val="8"/>
              <w:spacing w:before="0" w:line="240" w:lineRule="exact"/>
              <w:ind w:left="22"/>
              <w:rPr>
                <w:color w:val="auto"/>
                <w:lang w:eastAsia="zh-CN"/>
              </w:rPr>
            </w:pPr>
            <w:r>
              <w:rPr>
                <w:color w:val="auto"/>
                <w:spacing w:val="3"/>
                <w:lang w:eastAsia="zh-CN"/>
              </w:rPr>
              <w:t>排除：非医疗机构场所发生的跌倒、非住院患者（门诊、急诊留观室等）发生的跌倒、住院</w:t>
            </w:r>
            <w:r>
              <w:rPr>
                <w:color w:val="auto"/>
                <w:spacing w:val="5"/>
                <w:lang w:eastAsia="zh-CN"/>
              </w:rPr>
              <w:t>患儿生理性跌倒（小儿行走中无伤害跌倒）。</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269" w:type="dxa"/>
            <w:vMerge w:val="continue"/>
            <w:tcBorders>
              <w:top w:val="nil"/>
              <w:bottom w:val="nil"/>
            </w:tcBorders>
          </w:tcPr>
          <w:p>
            <w:pPr>
              <w:spacing w:line="240" w:lineRule="exact"/>
              <w:rPr>
                <w:color w:val="auto"/>
              </w:rPr>
            </w:pPr>
          </w:p>
        </w:tc>
        <w:tc>
          <w:tcPr>
            <w:tcW w:w="895" w:type="dxa"/>
          </w:tcPr>
          <w:p>
            <w:pPr>
              <w:spacing w:line="240" w:lineRule="exact"/>
              <w:rPr>
                <w:color w:val="auto"/>
              </w:rPr>
            </w:pPr>
          </w:p>
        </w:tc>
        <w:tc>
          <w:tcPr>
            <w:tcW w:w="1062" w:type="dxa"/>
          </w:tcPr>
          <w:p>
            <w:pPr>
              <w:pStyle w:val="8"/>
              <w:spacing w:before="0" w:line="240" w:lineRule="exact"/>
              <w:ind w:left="20" w:right="14" w:hanging="5"/>
              <w:jc w:val="both"/>
              <w:rPr>
                <w:color w:val="auto"/>
                <w:lang w:eastAsia="zh-CN"/>
              </w:rPr>
            </w:pPr>
            <w:r>
              <w:rPr>
                <w:rFonts w:ascii="Times New Roman" w:hAnsi="Times New Roman" w:eastAsia="Times New Roman" w:cs="Times New Roman"/>
                <w:color w:val="auto"/>
                <w:spacing w:val="15"/>
                <w:lang w:eastAsia="zh-CN"/>
              </w:rPr>
              <w:t>2.</w:t>
            </w:r>
            <w:r>
              <w:rPr>
                <w:color w:val="auto"/>
                <w:spacing w:val="15"/>
                <w:lang w:eastAsia="zh-CN"/>
              </w:rPr>
              <w:t>住院患者</w:t>
            </w:r>
            <w:r>
              <w:rPr>
                <w:color w:val="auto"/>
                <w:spacing w:val="14"/>
                <w:lang w:eastAsia="zh-CN"/>
              </w:rPr>
              <w:t>跌倒伤害占</w:t>
            </w:r>
            <w:r>
              <w:rPr>
                <w:color w:val="auto"/>
                <w:lang w:eastAsia="zh-CN"/>
              </w:rPr>
              <w:t>比</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3" w:right="154" w:hanging="7"/>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住院患者跌倒伤害总例次数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9"/>
                <w:lang w:eastAsia="zh-CN"/>
              </w:rPr>
              <w:t>期住院患者跌倒例次数</w:t>
            </w:r>
            <w:r>
              <w:rPr>
                <w:rFonts w:ascii="Times New Roman" w:hAnsi="Times New Roman" w:eastAsia="Times New Roman" w:cs="Times New Roman"/>
                <w:color w:val="auto"/>
                <w:spacing w:val="9"/>
                <w:lang w:eastAsia="zh-CN"/>
              </w:rPr>
              <w:t>×100</w:t>
            </w:r>
            <w:r>
              <w:rPr>
                <w:color w:val="auto"/>
                <w:spacing w:val="9"/>
                <w:lang w:eastAsia="zh-CN"/>
              </w:rPr>
              <w:t>%</w:t>
            </w:r>
          </w:p>
        </w:tc>
        <w:tc>
          <w:tcPr>
            <w:tcW w:w="3943" w:type="dxa"/>
          </w:tcPr>
          <w:p>
            <w:pPr>
              <w:pStyle w:val="8"/>
              <w:spacing w:before="0" w:line="240" w:lineRule="exact"/>
              <w:ind w:left="21" w:right="10" w:firstLine="2"/>
              <w:jc w:val="both"/>
              <w:rPr>
                <w:color w:val="auto"/>
                <w:lang w:eastAsia="zh-CN"/>
              </w:rPr>
            </w:pPr>
            <w:r>
              <w:rPr>
                <w:color w:val="auto"/>
                <w:spacing w:val="15"/>
                <w:lang w:eastAsia="zh-CN"/>
              </w:rPr>
              <w:t>跌倒伤害指住院患者跌倒后造成不同程度的</w:t>
            </w:r>
            <w:r>
              <w:rPr>
                <w:color w:val="auto"/>
                <w:spacing w:val="5"/>
                <w:lang w:eastAsia="zh-CN"/>
              </w:rPr>
              <w:t>伤害甚至死亡。住院患者跌倒伤害占比指单位</w:t>
            </w:r>
            <w:r>
              <w:rPr>
                <w:color w:val="auto"/>
                <w:spacing w:val="15"/>
                <w:lang w:eastAsia="zh-CN"/>
              </w:rPr>
              <w:t>时间内住院患者跌倒伤害例次数占住院患者</w:t>
            </w:r>
            <w:r>
              <w:rPr>
                <w:color w:val="auto"/>
                <w:spacing w:val="8"/>
                <w:lang w:eastAsia="zh-CN"/>
              </w:rPr>
              <w:t>发生的跌倒例次数的比例。</w:t>
            </w:r>
          </w:p>
          <w:p>
            <w:pPr>
              <w:pStyle w:val="8"/>
              <w:spacing w:before="0" w:line="240" w:lineRule="exact"/>
              <w:ind w:left="21"/>
              <w:rPr>
                <w:color w:val="auto"/>
                <w:lang w:eastAsia="zh-CN"/>
              </w:rPr>
            </w:pPr>
            <w:r>
              <w:rPr>
                <w:color w:val="auto"/>
                <w:spacing w:val="5"/>
                <w:lang w:eastAsia="zh-CN"/>
              </w:rPr>
              <w:t>说明：跌倒伤害总例次数为轻度、中度、重度</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bl>
    <w:p>
      <w:pPr>
        <w:autoSpaceDE/>
        <w:autoSpaceDN/>
        <w:spacing w:line="20" w:lineRule="exact"/>
        <w:rPr>
          <w:color w:val="auto"/>
          <w:sz w:val="15"/>
        </w:rPr>
      </w:pPr>
    </w:p>
    <w:p>
      <w:pPr>
        <w:autoSpaceDE/>
        <w:autoSpaceDN/>
        <w:spacing w:line="20" w:lineRule="exact"/>
        <w:rPr>
          <w:color w:val="auto"/>
          <w:sz w:val="15"/>
          <w:szCs w:val="15"/>
        </w:rPr>
        <w:sectPr>
          <w:footerReference r:id="rId35"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8" w:hRule="atLeast"/>
        </w:trPr>
        <w:tc>
          <w:tcPr>
            <w:tcW w:w="1269" w:type="dxa"/>
            <w:vMerge w:val="restart"/>
            <w:tcBorders>
              <w:bottom w:val="nil"/>
            </w:tcBorders>
          </w:tcPr>
          <w:p>
            <w:pPr>
              <w:spacing w:line="240" w:lineRule="exact"/>
              <w:rPr>
                <w:color w:val="auto"/>
              </w:rPr>
            </w:pPr>
          </w:p>
        </w:tc>
        <w:tc>
          <w:tcPr>
            <w:tcW w:w="895" w:type="dxa"/>
          </w:tcPr>
          <w:p>
            <w:pPr>
              <w:spacing w:line="240" w:lineRule="exact"/>
              <w:rPr>
                <w:color w:val="auto"/>
              </w:rPr>
            </w:pPr>
          </w:p>
        </w:tc>
        <w:tc>
          <w:tcPr>
            <w:tcW w:w="1062"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3" w:type="dxa"/>
          </w:tcPr>
          <w:p>
            <w:pPr>
              <w:pStyle w:val="8"/>
              <w:spacing w:before="0" w:line="240" w:lineRule="exact"/>
              <w:ind w:left="30" w:right="12" w:hanging="12"/>
              <w:rPr>
                <w:color w:val="auto"/>
                <w:lang w:eastAsia="zh-CN"/>
              </w:rPr>
            </w:pPr>
            <w:r>
              <w:rPr>
                <w:color w:val="auto"/>
                <w:spacing w:val="5"/>
                <w:lang w:eastAsia="zh-CN"/>
              </w:rPr>
              <w:t>例次数和跌倒死亡例数四项之和，应小于或等</w:t>
            </w:r>
            <w:r>
              <w:rPr>
                <w:color w:val="auto"/>
                <w:spacing w:val="7"/>
                <w:lang w:eastAsia="zh-CN"/>
              </w:rPr>
              <w:t>于跌倒发生总例次数。</w:t>
            </w:r>
          </w:p>
          <w:p>
            <w:pPr>
              <w:pStyle w:val="8"/>
              <w:spacing w:before="0" w:line="240" w:lineRule="exact"/>
              <w:ind w:left="22" w:firstLine="7"/>
              <w:jc w:val="both"/>
              <w:rPr>
                <w:color w:val="auto"/>
                <w:lang w:eastAsia="zh-CN"/>
              </w:rPr>
            </w:pPr>
            <w:r>
              <w:rPr>
                <w:color w:val="auto"/>
                <w:lang w:eastAsia="zh-CN"/>
              </w:rPr>
              <w:t>轻度（严重程度</w:t>
            </w:r>
            <w:r>
              <w:rPr>
                <w:rFonts w:ascii="Times New Roman" w:hAnsi="Times New Roman" w:eastAsia="Times New Roman" w:cs="Times New Roman"/>
                <w:color w:val="auto"/>
                <w:lang w:eastAsia="zh-CN"/>
              </w:rPr>
              <w:t>1</w:t>
            </w:r>
            <w:r>
              <w:rPr>
                <w:color w:val="auto"/>
                <w:lang w:eastAsia="zh-CN"/>
              </w:rPr>
              <w:t>级）指住院患者跌倒导致青</w:t>
            </w:r>
            <w:r>
              <w:rPr>
                <w:color w:val="auto"/>
                <w:spacing w:val="-4"/>
                <w:lang w:eastAsia="zh-CN"/>
              </w:rPr>
              <w:t>肿、擦伤、疼痛，需要冰敷、包扎、伤口清洁、</w:t>
            </w:r>
            <w:r>
              <w:rPr>
                <w:color w:val="auto"/>
                <w:spacing w:val="5"/>
                <w:lang w:eastAsia="zh-CN"/>
              </w:rPr>
              <w:t>肢体抬高、局部用药等。</w:t>
            </w:r>
          </w:p>
          <w:p>
            <w:pPr>
              <w:pStyle w:val="8"/>
              <w:spacing w:before="0" w:line="240" w:lineRule="exact"/>
              <w:ind w:left="38" w:right="10" w:firstLine="6"/>
              <w:jc w:val="both"/>
              <w:rPr>
                <w:color w:val="auto"/>
                <w:lang w:eastAsia="zh-CN"/>
              </w:rPr>
            </w:pPr>
            <w:r>
              <w:rPr>
                <w:color w:val="auto"/>
                <w:spacing w:val="2"/>
                <w:lang w:eastAsia="zh-CN"/>
              </w:rPr>
              <w:t>中度（严重程度</w:t>
            </w:r>
            <w:r>
              <w:rPr>
                <w:rFonts w:ascii="Times New Roman" w:hAnsi="Times New Roman" w:eastAsia="Times New Roman" w:cs="Times New Roman"/>
                <w:color w:val="auto"/>
                <w:spacing w:val="2"/>
                <w:lang w:eastAsia="zh-CN"/>
              </w:rPr>
              <w:t>2</w:t>
            </w:r>
            <w:r>
              <w:rPr>
                <w:color w:val="auto"/>
                <w:spacing w:val="2"/>
                <w:lang w:eastAsia="zh-CN"/>
              </w:rPr>
              <w:t>级）指住院患者跌倒导致肌</w:t>
            </w:r>
            <w:r>
              <w:rPr>
                <w:color w:val="auto"/>
                <w:spacing w:val="4"/>
                <w:lang w:eastAsia="zh-CN"/>
              </w:rPr>
              <w:t>肉或关节损伤，需要缝合、使用皮肤胶、夹板</w:t>
            </w:r>
            <w:r>
              <w:rPr>
                <w:color w:val="auto"/>
                <w:spacing w:val="1"/>
                <w:lang w:eastAsia="zh-CN"/>
              </w:rPr>
              <w:t>固定等。</w:t>
            </w:r>
          </w:p>
          <w:p>
            <w:pPr>
              <w:pStyle w:val="8"/>
              <w:spacing w:before="0" w:line="240" w:lineRule="exact"/>
              <w:ind w:left="22" w:right="10" w:firstLine="6"/>
              <w:jc w:val="both"/>
              <w:rPr>
                <w:color w:val="auto"/>
                <w:lang w:eastAsia="zh-CN"/>
              </w:rPr>
            </w:pPr>
            <w:r>
              <w:rPr>
                <w:color w:val="auto"/>
                <w:spacing w:val="3"/>
                <w:lang w:eastAsia="zh-CN"/>
              </w:rPr>
              <w:t>重度（严重程度</w:t>
            </w:r>
            <w:r>
              <w:rPr>
                <w:rFonts w:ascii="Times New Roman" w:hAnsi="Times New Roman" w:eastAsia="Times New Roman" w:cs="Times New Roman"/>
                <w:color w:val="auto"/>
                <w:spacing w:val="3"/>
                <w:lang w:eastAsia="zh-CN"/>
              </w:rPr>
              <w:t>3</w:t>
            </w:r>
            <w:r>
              <w:rPr>
                <w:color w:val="auto"/>
                <w:spacing w:val="3"/>
                <w:lang w:eastAsia="zh-CN"/>
              </w:rPr>
              <w:t>级）指住院患者跌倒导致骨</w:t>
            </w:r>
            <w:r>
              <w:rPr>
                <w:color w:val="auto"/>
                <w:spacing w:val="5"/>
                <w:lang w:eastAsia="zh-CN"/>
              </w:rPr>
              <w:t>折、神经或内部损伤，需要手术、石膏、牵引</w:t>
            </w:r>
            <w:r>
              <w:rPr>
                <w:color w:val="auto"/>
                <w:spacing w:val="-1"/>
                <w:lang w:eastAsia="zh-CN"/>
              </w:rPr>
              <w:t>等。</w:t>
            </w:r>
          </w:p>
          <w:p>
            <w:pPr>
              <w:pStyle w:val="8"/>
              <w:spacing w:before="0" w:line="240" w:lineRule="exact"/>
              <w:ind w:left="23"/>
              <w:rPr>
                <w:color w:val="auto"/>
                <w:lang w:eastAsia="zh-CN"/>
              </w:rPr>
            </w:pPr>
            <w:r>
              <w:rPr>
                <w:color w:val="auto"/>
                <w:spacing w:val="5"/>
                <w:lang w:eastAsia="zh-CN"/>
              </w:rPr>
              <w:t>死亡指住院患者因跌倒受伤而死亡，而不是由</w:t>
            </w:r>
          </w:p>
          <w:p>
            <w:pPr>
              <w:pStyle w:val="8"/>
              <w:spacing w:before="0" w:line="240" w:lineRule="exact"/>
              <w:ind w:left="23" w:right="770" w:firstLine="6"/>
              <w:rPr>
                <w:color w:val="auto"/>
                <w:lang w:eastAsia="zh-CN"/>
              </w:rPr>
            </w:pPr>
            <w:r>
              <w:rPr>
                <w:color w:val="auto"/>
                <w:spacing w:val="6"/>
                <w:lang w:eastAsia="zh-CN"/>
              </w:rPr>
              <w:t>于引起跌倒的生理事件本身而致死。</w:t>
            </w:r>
            <w:r>
              <w:rPr>
                <w:color w:val="auto"/>
                <w:spacing w:val="7"/>
                <w:lang w:eastAsia="zh-CN"/>
              </w:rPr>
              <w:t>排除：无伤害的跌倒。</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1" w:hRule="atLeast"/>
        </w:trPr>
        <w:tc>
          <w:tcPr>
            <w:tcW w:w="1269" w:type="dxa"/>
            <w:vMerge w:val="continue"/>
            <w:tcBorders>
              <w:top w:val="nil"/>
              <w:bottom w:val="nil"/>
            </w:tcBorders>
          </w:tcPr>
          <w:p>
            <w:pPr>
              <w:spacing w:line="240" w:lineRule="exact"/>
              <w:rPr>
                <w:color w:val="auto"/>
                <w:lang w:eastAsia="zh-CN"/>
              </w:rPr>
            </w:pPr>
          </w:p>
        </w:tc>
        <w:tc>
          <w:tcPr>
            <w:tcW w:w="1957" w:type="dxa"/>
            <w:gridSpan w:val="2"/>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14" w:hanging="3"/>
              <w:jc w:val="both"/>
              <w:rPr>
                <w:color w:val="auto"/>
                <w:lang w:eastAsia="zh-CN"/>
              </w:rPr>
            </w:pPr>
            <w:r>
              <w:rPr>
                <w:color w:val="auto"/>
                <w:lang w:eastAsia="zh-CN"/>
              </w:rPr>
              <w:t>（六）住院患者</w:t>
            </w:r>
            <w:r>
              <w:rPr>
                <w:rFonts w:ascii="Times New Roman" w:hAnsi="Times New Roman" w:eastAsia="Times New Roman" w:cs="Times New Roman"/>
                <w:color w:val="auto"/>
                <w:lang w:eastAsia="zh-CN"/>
              </w:rPr>
              <w:t>2</w:t>
            </w:r>
            <w:r>
              <w:rPr>
                <w:color w:val="auto"/>
                <w:lang w:eastAsia="zh-CN"/>
              </w:rPr>
              <w:t>期及</w:t>
            </w:r>
            <w:r>
              <w:rPr>
                <w:color w:val="auto"/>
                <w:spacing w:val="23"/>
                <w:lang w:eastAsia="zh-CN"/>
              </w:rPr>
              <w:t>以上院内压力性损伤</w:t>
            </w:r>
            <w:r>
              <w:rPr>
                <w:color w:val="auto"/>
                <w:spacing w:val="7"/>
                <w:lang w:eastAsia="zh-CN"/>
              </w:rPr>
              <w:t>发生率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68" w:firstLine="44"/>
              <w:jc w:val="both"/>
              <w:rPr>
                <w:color w:val="auto"/>
                <w:lang w:eastAsia="zh-CN"/>
              </w:rPr>
            </w:pPr>
            <w:r>
              <w:rPr>
                <w:color w:val="auto"/>
                <w:spacing w:val="11"/>
                <w:lang w:eastAsia="zh-CN"/>
              </w:rPr>
              <w:t>=住院患者</w:t>
            </w:r>
            <w:r>
              <w:rPr>
                <w:rFonts w:ascii="Times New Roman" w:hAnsi="Times New Roman" w:eastAsia="Times New Roman" w:cs="Times New Roman"/>
                <w:color w:val="auto"/>
                <w:spacing w:val="11"/>
                <w:lang w:eastAsia="zh-CN"/>
              </w:rPr>
              <w:t>2</w:t>
            </w:r>
            <w:r>
              <w:rPr>
                <w:color w:val="auto"/>
                <w:spacing w:val="11"/>
                <w:lang w:eastAsia="zh-CN"/>
              </w:rPr>
              <w:t>期及以上院内压力</w:t>
            </w:r>
            <w:r>
              <w:rPr>
                <w:color w:val="auto"/>
                <w:spacing w:val="8"/>
                <w:lang w:eastAsia="zh-CN"/>
              </w:rPr>
              <w:t>性损伤新发病例数</w:t>
            </w:r>
            <w:r>
              <w:rPr>
                <w:rFonts w:ascii="Times New Roman" w:hAnsi="Times New Roman" w:eastAsia="Times New Roman" w:cs="Times New Roman"/>
                <w:color w:val="auto"/>
                <w:spacing w:val="8"/>
                <w:lang w:eastAsia="zh-CN"/>
              </w:rPr>
              <w:t>/</w:t>
            </w:r>
            <w:r>
              <w:rPr>
                <w:color w:val="auto"/>
                <w:spacing w:val="8"/>
                <w:lang w:eastAsia="zh-CN"/>
              </w:rPr>
              <w:t>同期住院患者</w:t>
            </w:r>
            <w:r>
              <w:rPr>
                <w:color w:val="auto"/>
                <w:spacing w:val="9"/>
                <w:lang w:eastAsia="zh-CN"/>
              </w:rPr>
              <w:t>总数</w:t>
            </w:r>
            <w:r>
              <w:rPr>
                <w:rFonts w:ascii="Times New Roman" w:hAnsi="Times New Roman" w:eastAsia="Times New Roman" w:cs="Times New Roman"/>
                <w:color w:val="auto"/>
                <w:spacing w:val="9"/>
                <w:lang w:eastAsia="zh-CN"/>
              </w:rPr>
              <w:t>×100</w:t>
            </w:r>
            <w:r>
              <w:rPr>
                <w:color w:val="auto"/>
                <w:spacing w:val="9"/>
                <w:lang w:eastAsia="zh-CN"/>
              </w:rPr>
              <w:t>%</w:t>
            </w:r>
          </w:p>
        </w:tc>
        <w:tc>
          <w:tcPr>
            <w:tcW w:w="3943" w:type="dxa"/>
          </w:tcPr>
          <w:p>
            <w:pPr>
              <w:pStyle w:val="8"/>
              <w:spacing w:before="0" w:line="240" w:lineRule="exact"/>
              <w:ind w:left="21" w:right="10" w:firstLine="4"/>
              <w:rPr>
                <w:color w:val="auto"/>
                <w:lang w:eastAsia="zh-CN"/>
              </w:rPr>
            </w:pPr>
            <w:r>
              <w:rPr>
                <w:color w:val="auto"/>
                <w:spacing w:val="3"/>
                <w:lang w:eastAsia="zh-CN"/>
              </w:rPr>
              <w:t>单位时间内，住院患者</w:t>
            </w:r>
            <w:r>
              <w:rPr>
                <w:rFonts w:ascii="Times New Roman" w:hAnsi="Times New Roman" w:eastAsia="Times New Roman" w:cs="Times New Roman"/>
                <w:color w:val="auto"/>
                <w:spacing w:val="3"/>
                <w:lang w:eastAsia="zh-CN"/>
              </w:rPr>
              <w:t>2</w:t>
            </w:r>
            <w:r>
              <w:rPr>
                <w:color w:val="auto"/>
                <w:spacing w:val="3"/>
                <w:lang w:eastAsia="zh-CN"/>
              </w:rPr>
              <w:t>期及以上院内压力性</w:t>
            </w:r>
            <w:r>
              <w:rPr>
                <w:color w:val="auto"/>
                <w:spacing w:val="8"/>
                <w:lang w:eastAsia="zh-CN"/>
              </w:rPr>
              <w:t>损伤新发病例数与住院患者总数的比例。</w:t>
            </w:r>
          </w:p>
          <w:p>
            <w:pPr>
              <w:pStyle w:val="8"/>
              <w:spacing w:before="0" w:line="240" w:lineRule="exact"/>
              <w:ind w:left="18" w:right="10" w:firstLine="3"/>
              <w:jc w:val="both"/>
              <w:rPr>
                <w:color w:val="auto"/>
                <w:lang w:eastAsia="zh-CN"/>
              </w:rPr>
            </w:pPr>
            <w:r>
              <w:rPr>
                <w:color w:val="auto"/>
                <w:spacing w:val="9"/>
                <w:lang w:eastAsia="zh-CN"/>
              </w:rPr>
              <w:t>说明</w:t>
            </w:r>
            <w:r>
              <w:rPr>
                <w:color w:val="auto"/>
                <w:spacing w:val="-41"/>
                <w:lang w:eastAsia="zh-CN"/>
              </w:rPr>
              <w:t>：（</w:t>
            </w:r>
            <w:r>
              <w:rPr>
                <w:rFonts w:ascii="Times New Roman" w:hAnsi="Times New Roman" w:eastAsia="Times New Roman" w:cs="Times New Roman"/>
                <w:color w:val="auto"/>
                <w:spacing w:val="9"/>
                <w:lang w:eastAsia="zh-CN"/>
              </w:rPr>
              <w:t>1</w:t>
            </w:r>
            <w:r>
              <w:rPr>
                <w:color w:val="auto"/>
                <w:spacing w:val="9"/>
                <w:lang w:eastAsia="zh-CN"/>
              </w:rPr>
              <w:t>）单位时间内患者入院</w:t>
            </w:r>
            <w:r>
              <w:rPr>
                <w:rFonts w:ascii="Times New Roman" w:hAnsi="Times New Roman" w:eastAsia="Times New Roman" w:cs="Times New Roman"/>
                <w:color w:val="auto"/>
                <w:spacing w:val="9"/>
                <w:lang w:eastAsia="zh-CN"/>
              </w:rPr>
              <w:t>24</w:t>
            </w:r>
            <w:r>
              <w:rPr>
                <w:color w:val="auto"/>
                <w:spacing w:val="9"/>
                <w:lang w:eastAsia="zh-CN"/>
              </w:rPr>
              <w:t>小时后新</w:t>
            </w:r>
            <w:r>
              <w:rPr>
                <w:color w:val="auto"/>
                <w:spacing w:val="4"/>
                <w:lang w:eastAsia="zh-CN"/>
              </w:rPr>
              <w:t>发的</w:t>
            </w:r>
            <w:r>
              <w:rPr>
                <w:rFonts w:ascii="Times New Roman" w:hAnsi="Times New Roman" w:eastAsia="Times New Roman" w:cs="Times New Roman"/>
                <w:color w:val="auto"/>
                <w:spacing w:val="4"/>
                <w:lang w:eastAsia="zh-CN"/>
              </w:rPr>
              <w:t>2</w:t>
            </w:r>
            <w:r>
              <w:rPr>
                <w:color w:val="auto"/>
                <w:spacing w:val="4"/>
                <w:lang w:eastAsia="zh-CN"/>
              </w:rPr>
              <w:t>期及以上压力性损伤例数。院外带入压</w:t>
            </w:r>
            <w:r>
              <w:rPr>
                <w:color w:val="auto"/>
                <w:spacing w:val="10"/>
                <w:lang w:eastAsia="zh-CN"/>
              </w:rPr>
              <w:t>力性损伤患者，若入院</w:t>
            </w:r>
            <w:r>
              <w:rPr>
                <w:rFonts w:ascii="Times New Roman" w:hAnsi="Times New Roman" w:eastAsia="Times New Roman" w:cs="Times New Roman"/>
                <w:color w:val="auto"/>
                <w:spacing w:val="10"/>
                <w:lang w:eastAsia="zh-CN"/>
              </w:rPr>
              <w:t>24</w:t>
            </w:r>
            <w:r>
              <w:rPr>
                <w:color w:val="auto"/>
                <w:spacing w:val="10"/>
                <w:lang w:eastAsia="zh-CN"/>
              </w:rPr>
              <w:t>小时后新发生的</w:t>
            </w:r>
            <w:r>
              <w:rPr>
                <w:rFonts w:ascii="Times New Roman" w:hAnsi="Times New Roman" w:eastAsia="Times New Roman" w:cs="Times New Roman"/>
                <w:color w:val="auto"/>
                <w:spacing w:val="10"/>
                <w:lang w:eastAsia="zh-CN"/>
              </w:rPr>
              <w:t>2</w:t>
            </w:r>
            <w:r>
              <w:rPr>
                <w:color w:val="auto"/>
                <w:spacing w:val="4"/>
                <w:lang w:eastAsia="zh-CN"/>
              </w:rPr>
              <w:t>期及以上压力性损伤计作</w:t>
            </w:r>
            <w:r>
              <w:rPr>
                <w:rFonts w:ascii="Times New Roman" w:hAnsi="Times New Roman" w:eastAsia="Times New Roman" w:cs="Times New Roman"/>
                <w:color w:val="auto"/>
                <w:spacing w:val="4"/>
                <w:lang w:eastAsia="zh-CN"/>
              </w:rPr>
              <w:t>1</w:t>
            </w:r>
            <w:r>
              <w:rPr>
                <w:color w:val="auto"/>
                <w:spacing w:val="4"/>
                <w:lang w:eastAsia="zh-CN"/>
              </w:rPr>
              <w:t>例。同一患者</w:t>
            </w:r>
            <w:r>
              <w:rPr>
                <w:color w:val="auto"/>
                <w:spacing w:val="3"/>
                <w:lang w:eastAsia="zh-CN"/>
              </w:rPr>
              <w:t>单位</w:t>
            </w:r>
            <w:r>
              <w:rPr>
                <w:color w:val="auto"/>
                <w:spacing w:val="12"/>
                <w:lang w:eastAsia="zh-CN"/>
              </w:rPr>
              <w:t>时间内发生</w:t>
            </w:r>
            <w:r>
              <w:rPr>
                <w:rFonts w:ascii="Times New Roman" w:hAnsi="Times New Roman" w:eastAsia="Times New Roman" w:cs="Times New Roman"/>
                <w:color w:val="auto"/>
                <w:spacing w:val="12"/>
                <w:lang w:eastAsia="zh-CN"/>
              </w:rPr>
              <w:t>1</w:t>
            </w:r>
            <w:r>
              <w:rPr>
                <w:color w:val="auto"/>
                <w:spacing w:val="12"/>
                <w:lang w:eastAsia="zh-CN"/>
              </w:rPr>
              <w:t>处或多处</w:t>
            </w:r>
            <w:r>
              <w:rPr>
                <w:rFonts w:ascii="Times New Roman" w:hAnsi="Times New Roman" w:eastAsia="Times New Roman" w:cs="Times New Roman"/>
                <w:color w:val="auto"/>
                <w:spacing w:val="12"/>
                <w:lang w:eastAsia="zh-CN"/>
              </w:rPr>
              <w:t>2</w:t>
            </w:r>
            <w:r>
              <w:rPr>
                <w:color w:val="auto"/>
                <w:spacing w:val="12"/>
                <w:lang w:eastAsia="zh-CN"/>
              </w:rPr>
              <w:t>期及以上压力性损伤</w:t>
            </w:r>
            <w:r>
              <w:rPr>
                <w:color w:val="auto"/>
                <w:spacing w:val="8"/>
                <w:lang w:eastAsia="zh-CN"/>
              </w:rPr>
              <w:t>（包括在不同科室发生的压力性损伤</w:t>
            </w:r>
            <w:r>
              <w:rPr>
                <w:color w:val="auto"/>
                <w:spacing w:val="-19"/>
                <w:lang w:eastAsia="zh-CN"/>
              </w:rPr>
              <w:t>），</w:t>
            </w:r>
            <w:r>
              <w:rPr>
                <w:color w:val="auto"/>
                <w:spacing w:val="8"/>
                <w:lang w:eastAsia="zh-CN"/>
              </w:rPr>
              <w:t>均计</w:t>
            </w:r>
            <w:r>
              <w:rPr>
                <w:color w:val="auto"/>
                <w:spacing w:val="4"/>
                <w:lang w:eastAsia="zh-CN"/>
              </w:rPr>
              <w:t>作</w:t>
            </w:r>
            <w:r>
              <w:rPr>
                <w:rFonts w:ascii="Times New Roman" w:hAnsi="Times New Roman" w:eastAsia="Times New Roman" w:cs="Times New Roman"/>
                <w:color w:val="auto"/>
                <w:spacing w:val="4"/>
                <w:lang w:eastAsia="zh-CN"/>
              </w:rPr>
              <w:t>1</w:t>
            </w:r>
            <w:r>
              <w:rPr>
                <w:color w:val="auto"/>
                <w:spacing w:val="4"/>
                <w:lang w:eastAsia="zh-CN"/>
              </w:rPr>
              <w:t>例，期别按最高期别统计。压力性损</w:t>
            </w:r>
            <w:r>
              <w:rPr>
                <w:color w:val="auto"/>
                <w:spacing w:val="3"/>
                <w:lang w:eastAsia="zh-CN"/>
              </w:rPr>
              <w:t>伤分</w:t>
            </w:r>
            <w:r>
              <w:rPr>
                <w:color w:val="auto"/>
                <w:spacing w:val="5"/>
                <w:lang w:eastAsia="zh-CN"/>
              </w:rPr>
              <w:t>期依照《美国国家压疮咨询委员会：压力性损</w:t>
            </w:r>
            <w:r>
              <w:rPr>
                <w:color w:val="auto"/>
                <w:spacing w:val="7"/>
                <w:lang w:eastAsia="zh-CN"/>
              </w:rPr>
              <w:t>伤定义与分期（</w:t>
            </w:r>
            <w:r>
              <w:rPr>
                <w:rFonts w:ascii="Times New Roman" w:hAnsi="Times New Roman" w:eastAsia="Times New Roman" w:cs="Times New Roman"/>
                <w:color w:val="auto"/>
                <w:spacing w:val="7"/>
                <w:lang w:eastAsia="zh-CN"/>
              </w:rPr>
              <w:t>2016</w:t>
            </w:r>
            <w:r>
              <w:rPr>
                <w:color w:val="auto"/>
                <w:spacing w:val="7"/>
                <w:lang w:eastAsia="zh-CN"/>
              </w:rPr>
              <w:t>版）》界定。</w:t>
            </w:r>
          </w:p>
          <w:p>
            <w:pPr>
              <w:pStyle w:val="8"/>
              <w:spacing w:before="0" w:line="240" w:lineRule="exact"/>
              <w:ind w:left="19" w:hanging="4"/>
              <w:jc w:val="both"/>
              <w:rPr>
                <w:color w:val="auto"/>
                <w:lang w:eastAsia="zh-CN"/>
              </w:rPr>
            </w:pPr>
            <w:r>
              <w:rPr>
                <w:color w:val="auto"/>
                <w:spacing w:val="-2"/>
                <w:lang w:eastAsia="zh-CN"/>
              </w:rPr>
              <w:t>包含：</w:t>
            </w:r>
            <w:r>
              <w:rPr>
                <w:rFonts w:ascii="Times New Roman" w:hAnsi="Times New Roman" w:eastAsia="Times New Roman" w:cs="Times New Roman"/>
                <w:color w:val="auto"/>
                <w:spacing w:val="-2"/>
                <w:lang w:eastAsia="zh-CN"/>
              </w:rPr>
              <w:t>2</w:t>
            </w:r>
            <w:r>
              <w:rPr>
                <w:color w:val="auto"/>
                <w:spacing w:val="-2"/>
                <w:lang w:eastAsia="zh-CN"/>
              </w:rPr>
              <w:t>期及以上压力性损伤，深部组织损伤、</w:t>
            </w:r>
            <w:r>
              <w:rPr>
                <w:color w:val="auto"/>
                <w:spacing w:val="2"/>
                <w:lang w:eastAsia="zh-CN"/>
              </w:rPr>
              <w:t>不可分期、医疗器械相关性压力性损伤、粘膜</w:t>
            </w:r>
            <w:r>
              <w:rPr>
                <w:color w:val="auto"/>
                <w:spacing w:val="5"/>
                <w:lang w:eastAsia="zh-CN"/>
              </w:rPr>
              <w:t>压力性损伤。</w:t>
            </w:r>
          </w:p>
          <w:p>
            <w:pPr>
              <w:pStyle w:val="8"/>
              <w:spacing w:before="0" w:line="240" w:lineRule="exact"/>
              <w:ind w:left="24" w:hanging="1"/>
              <w:jc w:val="both"/>
              <w:rPr>
                <w:color w:val="auto"/>
                <w:lang w:eastAsia="zh-CN"/>
              </w:rPr>
            </w:pPr>
            <w:r>
              <w:rPr>
                <w:color w:val="auto"/>
                <w:spacing w:val="4"/>
                <w:lang w:eastAsia="zh-CN"/>
              </w:rPr>
              <w:t>排除：因动脉阻塞、静脉功能不全、糖尿病相</w:t>
            </w:r>
            <w:r>
              <w:rPr>
                <w:color w:val="auto"/>
                <w:spacing w:val="5"/>
                <w:lang w:eastAsia="zh-CN"/>
              </w:rPr>
              <w:t>关神经病变或失禁性皮炎等造成的皮肤损伤；</w:t>
            </w:r>
            <w:r>
              <w:rPr>
                <w:color w:val="auto"/>
                <w:spacing w:val="7"/>
                <w:lang w:eastAsia="zh-CN"/>
              </w:rPr>
              <w:t>社区获得性压力性损伤。</w:t>
            </w:r>
          </w:p>
          <w:p>
            <w:pPr>
              <w:pStyle w:val="8"/>
              <w:spacing w:before="0" w:line="240" w:lineRule="exact"/>
              <w:ind w:left="26" w:right="12" w:hanging="8"/>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）住院患者总数为统计周期期初在院患者</w:t>
            </w:r>
            <w:r>
              <w:rPr>
                <w:color w:val="auto"/>
                <w:spacing w:val="8"/>
                <w:lang w:eastAsia="zh-CN"/>
              </w:rPr>
              <w:t>数与单位时间内新入院患者数之和。</w:t>
            </w:r>
          </w:p>
          <w:p>
            <w:pPr>
              <w:pStyle w:val="8"/>
              <w:spacing w:before="0" w:line="240" w:lineRule="exact"/>
              <w:ind w:left="15"/>
              <w:rPr>
                <w:color w:val="auto"/>
                <w:lang w:eastAsia="zh-CN"/>
              </w:rPr>
            </w:pPr>
            <w:r>
              <w:rPr>
                <w:color w:val="auto"/>
                <w:spacing w:val="9"/>
                <w:lang w:eastAsia="zh-CN"/>
              </w:rPr>
              <w:t>包含：所有办理住院手续的患者。</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autoSpaceDE/>
        <w:autoSpaceDN/>
        <w:spacing w:line="20" w:lineRule="exact"/>
        <w:rPr>
          <w:color w:val="auto"/>
          <w:sz w:val="9"/>
        </w:rPr>
      </w:pPr>
    </w:p>
    <w:p>
      <w:pPr>
        <w:autoSpaceDE/>
        <w:autoSpaceDN/>
        <w:spacing w:line="20" w:lineRule="exact"/>
        <w:rPr>
          <w:color w:val="auto"/>
          <w:sz w:val="9"/>
          <w:szCs w:val="9"/>
        </w:rPr>
        <w:sectPr>
          <w:footerReference r:id="rId36"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269" w:type="dxa"/>
            <w:vMerge w:val="restart"/>
            <w:tcBorders>
              <w:bottom w:val="nil"/>
            </w:tcBorders>
          </w:tcPr>
          <w:p>
            <w:pPr>
              <w:spacing w:line="240" w:lineRule="exact"/>
              <w:rPr>
                <w:color w:val="auto"/>
              </w:rPr>
            </w:pPr>
          </w:p>
        </w:tc>
        <w:tc>
          <w:tcPr>
            <w:tcW w:w="1957" w:type="dxa"/>
            <w:gridSpan w:val="2"/>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3" w:type="dxa"/>
          </w:tcPr>
          <w:p>
            <w:pPr>
              <w:pStyle w:val="8"/>
              <w:spacing w:before="0" w:line="240" w:lineRule="exact"/>
              <w:ind w:left="23"/>
              <w:rPr>
                <w:color w:val="auto"/>
                <w:lang w:eastAsia="zh-CN"/>
              </w:rPr>
            </w:pPr>
            <w:r>
              <w:rPr>
                <w:color w:val="auto"/>
                <w:spacing w:val="5"/>
                <w:lang w:eastAsia="zh-CN"/>
              </w:rPr>
              <w:t>排除：办理住院手续但实际未到达病区患者；</w:t>
            </w:r>
            <w:r>
              <w:rPr>
                <w:color w:val="auto"/>
                <w:spacing w:val="6"/>
                <w:lang w:eastAsia="zh-CN"/>
              </w:rPr>
              <w:t>母婴同室新生儿。</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269" w:type="dxa"/>
            <w:vMerge w:val="continue"/>
            <w:tcBorders>
              <w:top w:val="nil"/>
              <w:bottom w:val="nil"/>
            </w:tcBorders>
          </w:tcPr>
          <w:p>
            <w:pPr>
              <w:spacing w:line="240" w:lineRule="exact"/>
              <w:rPr>
                <w:color w:val="auto"/>
                <w:lang w:eastAsia="zh-CN"/>
              </w:rPr>
            </w:pP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 w:right="15" w:hanging="4"/>
              <w:jc w:val="both"/>
              <w:rPr>
                <w:color w:val="auto"/>
                <w:lang w:eastAsia="zh-CN"/>
              </w:rPr>
            </w:pPr>
            <w:r>
              <w:rPr>
                <w:color w:val="auto"/>
                <w:spacing w:val="7"/>
                <w:lang w:eastAsia="zh-CN"/>
              </w:rPr>
              <w:t>（七）置</w:t>
            </w:r>
            <w:r>
              <w:rPr>
                <w:color w:val="auto"/>
                <w:spacing w:val="23"/>
                <w:lang w:eastAsia="zh-CN"/>
              </w:rPr>
              <w:t>管患者非计划拔管</w:t>
            </w:r>
            <w:r>
              <w:rPr>
                <w:color w:val="auto"/>
                <w:lang w:eastAsia="zh-CN"/>
              </w:rPr>
              <w:t>率</w:t>
            </w:r>
          </w:p>
        </w:tc>
        <w:tc>
          <w:tcPr>
            <w:tcW w:w="1062" w:type="dxa"/>
          </w:tcPr>
          <w:p>
            <w:pPr>
              <w:pStyle w:val="8"/>
              <w:spacing w:before="0" w:line="240" w:lineRule="exact"/>
              <w:ind w:left="15" w:right="14" w:firstLine="18"/>
              <w:jc w:val="both"/>
              <w:rPr>
                <w:color w:val="auto"/>
                <w:lang w:eastAsia="zh-CN"/>
              </w:rPr>
            </w:pPr>
            <w:r>
              <w:rPr>
                <w:rFonts w:ascii="Times New Roman" w:hAnsi="Times New Roman" w:eastAsia="Times New Roman" w:cs="Times New Roman"/>
                <w:color w:val="auto"/>
                <w:spacing w:val="11"/>
                <w:lang w:eastAsia="zh-CN"/>
              </w:rPr>
              <w:t>1.</w:t>
            </w:r>
            <w:r>
              <w:rPr>
                <w:color w:val="auto"/>
                <w:spacing w:val="11"/>
                <w:lang w:eastAsia="zh-CN"/>
              </w:rPr>
              <w:t>气管导管</w:t>
            </w:r>
            <w:r>
              <w:rPr>
                <w:color w:val="auto"/>
                <w:spacing w:val="-7"/>
                <w:lang w:eastAsia="zh-CN"/>
              </w:rPr>
              <w:t>（气管插</w:t>
            </w:r>
            <w:r>
              <w:rPr>
                <w:color w:val="auto"/>
                <w:spacing w:val="15"/>
                <w:lang w:eastAsia="zh-CN"/>
              </w:rPr>
              <w:t>管、气管切</w:t>
            </w:r>
            <w:r>
              <w:rPr>
                <w:color w:val="auto"/>
                <w:spacing w:val="6"/>
                <w:lang w:eastAsia="zh-CN"/>
              </w:rPr>
              <w:t>开）非计划</w:t>
            </w:r>
            <w:r>
              <w:rPr>
                <w:color w:val="auto"/>
                <w:spacing w:val="8"/>
                <w:lang w:eastAsia="zh-CN"/>
              </w:rPr>
              <w:t>拔管率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pStyle w:val="8"/>
              <w:spacing w:before="0" w:line="240" w:lineRule="exact"/>
              <w:ind w:left="17" w:firstLine="50"/>
              <w:jc w:val="both"/>
              <w:rPr>
                <w:rFonts w:ascii="Times New Roman" w:hAnsi="Times New Roman" w:eastAsia="Times New Roman" w:cs="Times New Roman"/>
                <w:color w:val="auto"/>
                <w:lang w:eastAsia="zh-CN"/>
              </w:rPr>
            </w:pPr>
            <w:r>
              <w:rPr>
                <w:color w:val="auto"/>
                <w:spacing w:val="-5"/>
                <w:lang w:eastAsia="zh-CN"/>
              </w:rPr>
              <w:t>=气管导管（气管插管、气管切开）</w:t>
            </w:r>
            <w:r>
              <w:rPr>
                <w:color w:val="auto"/>
                <w:spacing w:val="3"/>
                <w:lang w:eastAsia="zh-CN"/>
              </w:rPr>
              <w:t>非计划拔管例次数</w:t>
            </w:r>
            <w:r>
              <w:rPr>
                <w:rFonts w:ascii="Times New Roman" w:hAnsi="Times New Roman" w:eastAsia="Times New Roman" w:cs="Times New Roman"/>
                <w:color w:val="auto"/>
                <w:spacing w:val="3"/>
                <w:lang w:eastAsia="zh-CN"/>
              </w:rPr>
              <w:t>/</w:t>
            </w:r>
            <w:r>
              <w:rPr>
                <w:color w:val="auto"/>
                <w:spacing w:val="3"/>
                <w:lang w:eastAsia="zh-CN"/>
              </w:rPr>
              <w:t>同期气管导管</w:t>
            </w:r>
            <w:r>
              <w:rPr>
                <w:color w:val="auto"/>
                <w:spacing w:val="-2"/>
                <w:lang w:eastAsia="zh-CN"/>
              </w:rPr>
              <w:t>（气管插管、气管切开）留置总日数</w:t>
            </w:r>
            <w:r>
              <w:rPr>
                <w:rFonts w:ascii="Times New Roman" w:hAnsi="Times New Roman" w:eastAsia="Times New Roman" w:cs="Times New Roman"/>
                <w:color w:val="auto"/>
                <w:spacing w:val="-2"/>
                <w:lang w:eastAsia="zh-CN"/>
              </w:rPr>
              <w:t>×1000‰</w:t>
            </w:r>
          </w:p>
        </w:tc>
        <w:tc>
          <w:tcPr>
            <w:tcW w:w="3943" w:type="dxa"/>
          </w:tcPr>
          <w:p>
            <w:pPr>
              <w:pStyle w:val="8"/>
              <w:spacing w:before="0" w:line="240" w:lineRule="exact"/>
              <w:ind w:left="21" w:right="10" w:firstLine="10"/>
              <w:jc w:val="both"/>
              <w:rPr>
                <w:color w:val="auto"/>
                <w:lang w:eastAsia="zh-CN"/>
              </w:rPr>
            </w:pPr>
            <w:r>
              <w:rPr>
                <w:color w:val="auto"/>
                <w:spacing w:val="4"/>
                <w:lang w:eastAsia="zh-CN"/>
              </w:rPr>
              <w:t>非计划拔管又称意外拔管，是指住院患者有意</w:t>
            </w:r>
            <w:r>
              <w:rPr>
                <w:color w:val="auto"/>
                <w:spacing w:val="5"/>
                <w:lang w:eastAsia="zh-CN"/>
              </w:rPr>
              <w:t>造成或任何意外所致的拔管，即医护人员非诊疗计划范畴内的拔管。气管导管非计划拔管率</w:t>
            </w:r>
            <w:r>
              <w:rPr>
                <w:color w:val="auto"/>
                <w:spacing w:val="15"/>
                <w:lang w:eastAsia="zh-CN"/>
              </w:rPr>
              <w:t>指单位时间内住院患者发生气管导管非计划拔管的例次数与气管导管留置总日数的千分</w:t>
            </w:r>
            <w:r>
              <w:rPr>
                <w:color w:val="auto"/>
                <w:lang w:eastAsia="zh-CN"/>
              </w:rPr>
              <w:t>比。</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24" w:right="14" w:hanging="9"/>
              <w:jc w:val="both"/>
              <w:rPr>
                <w:color w:val="auto"/>
                <w:lang w:eastAsia="zh-CN"/>
              </w:rPr>
            </w:pPr>
            <w:r>
              <w:rPr>
                <w:rFonts w:ascii="Times New Roman" w:hAnsi="Times New Roman" w:eastAsia="Times New Roman" w:cs="Times New Roman"/>
                <w:color w:val="auto"/>
                <w:lang w:eastAsia="zh-CN"/>
              </w:rPr>
              <w:t>2.</w:t>
            </w:r>
            <w:r>
              <w:rPr>
                <w:color w:val="auto"/>
                <w:lang w:eastAsia="zh-CN"/>
              </w:rPr>
              <w:t>经口、经</w:t>
            </w:r>
            <w:r>
              <w:rPr>
                <w:color w:val="auto"/>
                <w:spacing w:val="13"/>
                <w:lang w:eastAsia="zh-CN"/>
              </w:rPr>
              <w:t>鼻胃肠导管非计划拔管</w:t>
            </w:r>
            <w:r>
              <w:rPr>
                <w:color w:val="auto"/>
                <w:lang w:eastAsia="zh-CN"/>
              </w:rPr>
              <w:t>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17" w:right="15" w:firstLine="51"/>
              <w:jc w:val="both"/>
              <w:rPr>
                <w:rFonts w:ascii="Times New Roman" w:hAnsi="Times New Roman" w:eastAsia="Times New Roman" w:cs="Times New Roman"/>
                <w:color w:val="auto"/>
                <w:lang w:eastAsia="zh-CN"/>
              </w:rPr>
            </w:pPr>
            <w:r>
              <w:rPr>
                <w:color w:val="auto"/>
                <w:spacing w:val="6"/>
                <w:lang w:eastAsia="zh-CN"/>
              </w:rPr>
              <w:t>=经口、经鼻胃肠导管非计划拔管</w:t>
            </w:r>
            <w:r>
              <w:rPr>
                <w:color w:val="auto"/>
                <w:spacing w:val="9"/>
                <w:lang w:eastAsia="zh-CN"/>
              </w:rPr>
              <w:t>例次数</w:t>
            </w:r>
            <w:r>
              <w:rPr>
                <w:rFonts w:ascii="Times New Roman" w:hAnsi="Times New Roman" w:eastAsia="Times New Roman" w:cs="Times New Roman"/>
                <w:color w:val="auto"/>
                <w:spacing w:val="9"/>
                <w:lang w:eastAsia="zh-CN"/>
              </w:rPr>
              <w:t>/</w:t>
            </w:r>
            <w:r>
              <w:rPr>
                <w:color w:val="auto"/>
                <w:spacing w:val="9"/>
                <w:lang w:eastAsia="zh-CN"/>
              </w:rPr>
              <w:t>同期经口、经鼻胃肠导管</w:t>
            </w:r>
            <w:r>
              <w:rPr>
                <w:color w:val="auto"/>
                <w:spacing w:val="5"/>
                <w:lang w:eastAsia="zh-CN"/>
              </w:rPr>
              <w:t>留置总日数</w:t>
            </w:r>
            <w:r>
              <w:rPr>
                <w:rFonts w:ascii="Times New Roman" w:hAnsi="Times New Roman" w:eastAsia="Times New Roman" w:cs="Times New Roman"/>
                <w:color w:val="auto"/>
                <w:spacing w:val="5"/>
                <w:lang w:eastAsia="zh-CN"/>
              </w:rPr>
              <w:t>×1000‰</w:t>
            </w:r>
          </w:p>
        </w:tc>
        <w:tc>
          <w:tcPr>
            <w:tcW w:w="3943" w:type="dxa"/>
          </w:tcPr>
          <w:p>
            <w:pPr>
              <w:pStyle w:val="8"/>
              <w:spacing w:before="0" w:line="240" w:lineRule="exact"/>
              <w:ind w:left="22" w:right="10" w:firstLine="3"/>
              <w:jc w:val="both"/>
              <w:rPr>
                <w:color w:val="auto"/>
                <w:lang w:eastAsia="zh-CN"/>
              </w:rPr>
            </w:pPr>
            <w:r>
              <w:rPr>
                <w:color w:val="auto"/>
                <w:spacing w:val="4"/>
                <w:lang w:eastAsia="zh-CN"/>
              </w:rPr>
              <w:t>经口、经鼻胃肠导管非计划拔管率指单位时间</w:t>
            </w:r>
            <w:r>
              <w:rPr>
                <w:color w:val="auto"/>
                <w:spacing w:val="5"/>
                <w:lang w:eastAsia="zh-CN"/>
              </w:rPr>
              <w:t>内住院患者发生经口、经鼻胃肠导管非计划拔管的例次数与经口、经鼻胃肠导管留置总日数</w:t>
            </w:r>
            <w:r>
              <w:rPr>
                <w:color w:val="auto"/>
                <w:spacing w:val="6"/>
                <w:lang w:eastAsia="zh-CN"/>
              </w:rPr>
              <w:t>的千分比。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23" w:right="14" w:hanging="4"/>
              <w:rPr>
                <w:color w:val="auto"/>
              </w:rPr>
            </w:pPr>
            <w:r>
              <w:rPr>
                <w:rFonts w:ascii="Times New Roman" w:hAnsi="Times New Roman" w:eastAsia="Times New Roman" w:cs="Times New Roman"/>
                <w:color w:val="auto"/>
                <w:spacing w:val="14"/>
              </w:rPr>
              <w:t>3.</w:t>
            </w:r>
            <w:r>
              <w:rPr>
                <w:color w:val="auto"/>
                <w:spacing w:val="14"/>
              </w:rPr>
              <w:t>导尿管非</w:t>
            </w:r>
            <w:r>
              <w:rPr>
                <w:color w:val="auto"/>
                <w:spacing w:val="7"/>
              </w:rPr>
              <w:t>计划拔管率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29" w:right="68" w:firstLine="38"/>
              <w:rPr>
                <w:rFonts w:ascii="Times New Roman" w:hAnsi="Times New Roman" w:eastAsia="Times New Roman" w:cs="Times New Roman"/>
                <w:color w:val="auto"/>
                <w:lang w:eastAsia="zh-CN"/>
              </w:rPr>
            </w:pPr>
            <w:r>
              <w:rPr>
                <w:color w:val="auto"/>
                <w:spacing w:val="11"/>
                <w:lang w:eastAsia="zh-CN"/>
              </w:rPr>
              <w:t>=导尿管非计划拔管例次数</w:t>
            </w:r>
            <w:r>
              <w:rPr>
                <w:rFonts w:ascii="Times New Roman" w:hAnsi="Times New Roman" w:eastAsia="Times New Roman" w:cs="Times New Roman"/>
                <w:color w:val="auto"/>
                <w:spacing w:val="11"/>
                <w:lang w:eastAsia="zh-CN"/>
              </w:rPr>
              <w:t>/</w:t>
            </w:r>
            <w:r>
              <w:rPr>
                <w:color w:val="auto"/>
                <w:spacing w:val="11"/>
                <w:lang w:eastAsia="zh-CN"/>
              </w:rPr>
              <w:t>同期</w:t>
            </w:r>
            <w:r>
              <w:rPr>
                <w:color w:val="auto"/>
                <w:spacing w:val="5"/>
                <w:lang w:eastAsia="zh-CN"/>
              </w:rPr>
              <w:t>导尿管留置总日数</w:t>
            </w:r>
            <w:r>
              <w:rPr>
                <w:rFonts w:ascii="Times New Roman" w:hAnsi="Times New Roman" w:eastAsia="Times New Roman" w:cs="Times New Roman"/>
                <w:color w:val="auto"/>
                <w:spacing w:val="5"/>
                <w:lang w:eastAsia="zh-CN"/>
              </w:rPr>
              <w:t>×1000‰</w:t>
            </w:r>
          </w:p>
        </w:tc>
        <w:tc>
          <w:tcPr>
            <w:tcW w:w="3943" w:type="dxa"/>
          </w:tcPr>
          <w:p>
            <w:pPr>
              <w:pStyle w:val="8"/>
              <w:spacing w:before="0" w:line="240" w:lineRule="exact"/>
              <w:ind w:left="21" w:right="10" w:firstLine="9"/>
              <w:jc w:val="both"/>
              <w:rPr>
                <w:color w:val="auto"/>
                <w:lang w:eastAsia="zh-CN"/>
              </w:rPr>
            </w:pPr>
            <w:r>
              <w:rPr>
                <w:color w:val="auto"/>
                <w:spacing w:val="15"/>
                <w:lang w:eastAsia="zh-CN"/>
              </w:rPr>
              <w:t>导尿管非计划拔管率指单位时间内住院患者发生导尿管非计划拔管的例次数与导尿管留</w:t>
            </w:r>
            <w:r>
              <w:rPr>
                <w:color w:val="auto"/>
                <w:spacing w:val="7"/>
                <w:lang w:eastAsia="zh-CN"/>
              </w:rPr>
              <w:t>置总日数的千分比。</w:t>
            </w:r>
          </w:p>
        </w:tc>
        <w:tc>
          <w:tcPr>
            <w:tcW w:w="1177" w:type="dxa"/>
          </w:tcPr>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23" w:hanging="9"/>
              <w:jc w:val="both"/>
              <w:rPr>
                <w:color w:val="auto"/>
                <w:lang w:eastAsia="zh-CN"/>
              </w:rPr>
            </w:pPr>
            <w:r>
              <w:rPr>
                <w:rFonts w:ascii="Times New Roman" w:hAnsi="Times New Roman" w:eastAsia="Times New Roman" w:cs="Times New Roman"/>
                <w:color w:val="auto"/>
                <w:lang w:eastAsia="zh-CN"/>
              </w:rPr>
              <w:t>4.</w:t>
            </w:r>
            <w:r>
              <w:rPr>
                <w:color w:val="auto"/>
                <w:lang w:eastAsia="zh-CN"/>
              </w:rPr>
              <w:t>中心静脉</w:t>
            </w:r>
            <w:r>
              <w:rPr>
                <w:color w:val="auto"/>
                <w:spacing w:val="-17"/>
                <w:lang w:eastAsia="zh-CN"/>
              </w:rPr>
              <w:t>导管（</w:t>
            </w:r>
            <w:r>
              <w:rPr>
                <w:rFonts w:ascii="Times New Roman" w:hAnsi="Times New Roman" w:eastAsia="Times New Roman" w:cs="Times New Roman"/>
                <w:color w:val="auto"/>
                <w:spacing w:val="-17"/>
                <w:lang w:eastAsia="zh-CN"/>
              </w:rPr>
              <w:t>CVC</w:t>
            </w:r>
            <w:r>
              <w:rPr>
                <w:color w:val="auto"/>
                <w:spacing w:val="-17"/>
                <w:lang w:eastAsia="zh-CN"/>
              </w:rPr>
              <w:t>）</w:t>
            </w:r>
            <w:r>
              <w:rPr>
                <w:color w:val="auto"/>
                <w:spacing w:val="-2"/>
                <w:lang w:eastAsia="zh-CN"/>
              </w:rPr>
              <w:t>非计划拔管</w:t>
            </w:r>
            <w:r>
              <w:rPr>
                <w:color w:val="auto"/>
                <w:lang w:eastAsia="zh-CN"/>
              </w:rPr>
              <w:t>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19" w:right="207" w:firstLine="48"/>
              <w:rPr>
                <w:rFonts w:ascii="Times New Roman" w:hAnsi="Times New Roman" w:eastAsia="Times New Roman" w:cs="Times New Roman"/>
                <w:color w:val="auto"/>
                <w:lang w:eastAsia="zh-CN"/>
              </w:rPr>
            </w:pPr>
            <w:r>
              <w:rPr>
                <w:color w:val="auto"/>
                <w:spacing w:val="12"/>
                <w:lang w:eastAsia="zh-CN"/>
              </w:rPr>
              <w:t>=</w:t>
            </w:r>
            <w:r>
              <w:rPr>
                <w:rFonts w:ascii="Times New Roman" w:hAnsi="Times New Roman" w:eastAsia="Times New Roman" w:cs="Times New Roman"/>
                <w:color w:val="auto"/>
                <w:lang w:eastAsia="zh-CN"/>
              </w:rPr>
              <w:t>CVC</w:t>
            </w:r>
            <w:r>
              <w:rPr>
                <w:color w:val="auto"/>
                <w:spacing w:val="12"/>
                <w:lang w:eastAsia="zh-CN"/>
              </w:rPr>
              <w:t>非计划拔管例次数</w:t>
            </w:r>
            <w:r>
              <w:rPr>
                <w:rFonts w:ascii="Times New Roman" w:hAnsi="Times New Roman" w:eastAsia="Times New Roman" w:cs="Times New Roman"/>
                <w:color w:val="auto"/>
                <w:spacing w:val="12"/>
                <w:lang w:eastAsia="zh-CN"/>
              </w:rPr>
              <w:t>/</w:t>
            </w:r>
            <w:r>
              <w:rPr>
                <w:color w:val="auto"/>
                <w:spacing w:val="12"/>
                <w:lang w:eastAsia="zh-CN"/>
              </w:rPr>
              <w:t>同期</w:t>
            </w:r>
            <w:r>
              <w:rPr>
                <w:rFonts w:ascii="Times New Roman" w:hAnsi="Times New Roman" w:eastAsia="Times New Roman" w:cs="Times New Roman"/>
                <w:color w:val="auto"/>
                <w:lang w:eastAsia="zh-CN"/>
              </w:rPr>
              <w:t>CVC</w:t>
            </w:r>
            <w:r>
              <w:rPr>
                <w:color w:val="auto"/>
                <w:spacing w:val="3"/>
                <w:lang w:eastAsia="zh-CN"/>
              </w:rPr>
              <w:t>留置总日数</w:t>
            </w:r>
            <w:r>
              <w:rPr>
                <w:rFonts w:ascii="Times New Roman" w:hAnsi="Times New Roman" w:eastAsia="Times New Roman" w:cs="Times New Roman"/>
                <w:color w:val="auto"/>
                <w:spacing w:val="3"/>
                <w:lang w:eastAsia="zh-CN"/>
              </w:rPr>
              <w:t>×1000‰</w:t>
            </w:r>
          </w:p>
        </w:tc>
        <w:tc>
          <w:tcPr>
            <w:tcW w:w="3943" w:type="dxa"/>
          </w:tcPr>
          <w:p>
            <w:pPr>
              <w:pStyle w:val="8"/>
              <w:spacing w:before="0" w:line="240" w:lineRule="exact"/>
              <w:ind w:left="38" w:right="7" w:firstLine="6"/>
              <w:jc w:val="both"/>
              <w:rPr>
                <w:color w:val="auto"/>
                <w:lang w:eastAsia="zh-CN"/>
              </w:rPr>
            </w:pPr>
            <w:r>
              <w:rPr>
                <w:color w:val="auto"/>
                <w:spacing w:val="4"/>
                <w:lang w:eastAsia="zh-CN"/>
              </w:rPr>
              <w:t>中心静脉导管（</w:t>
            </w:r>
            <w:r>
              <w:rPr>
                <w:rFonts w:ascii="Times New Roman" w:hAnsi="Times New Roman" w:eastAsia="Times New Roman" w:cs="Times New Roman"/>
                <w:color w:val="auto"/>
                <w:lang w:eastAsia="zh-CN"/>
              </w:rPr>
              <w:t>CVC</w:t>
            </w:r>
            <w:r>
              <w:rPr>
                <w:color w:val="auto"/>
                <w:spacing w:val="4"/>
                <w:lang w:eastAsia="zh-CN"/>
              </w:rPr>
              <w:t>）非计划拔管率指单位时</w:t>
            </w:r>
            <w:r>
              <w:rPr>
                <w:color w:val="auto"/>
                <w:spacing w:val="14"/>
                <w:lang w:eastAsia="zh-CN"/>
              </w:rPr>
              <w:t>间内住院患者发生中心静脉导管非计划拔管的例次数与中心静脉导管留置总日数的千分</w:t>
            </w:r>
            <w:r>
              <w:rPr>
                <w:color w:val="auto"/>
                <w:spacing w:val="-8"/>
                <w:lang w:eastAsia="zh-CN"/>
              </w:rPr>
              <w:t>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pStyle w:val="8"/>
              <w:spacing w:before="0" w:line="240" w:lineRule="exact"/>
              <w:ind w:left="15" w:right="14" w:firstLine="5"/>
              <w:jc w:val="both"/>
              <w:rPr>
                <w:color w:val="auto"/>
                <w:lang w:eastAsia="zh-CN"/>
              </w:rPr>
            </w:pPr>
            <w:r>
              <w:rPr>
                <w:rFonts w:ascii="Times New Roman" w:hAnsi="Times New Roman" w:eastAsia="Times New Roman" w:cs="Times New Roman"/>
                <w:color w:val="auto"/>
                <w:spacing w:val="14"/>
                <w:lang w:eastAsia="zh-CN"/>
              </w:rPr>
              <w:t>5.</w:t>
            </w:r>
            <w:r>
              <w:rPr>
                <w:color w:val="auto"/>
                <w:spacing w:val="14"/>
                <w:lang w:eastAsia="zh-CN"/>
              </w:rPr>
              <w:t>经外周置</w:t>
            </w:r>
            <w:r>
              <w:rPr>
                <w:color w:val="auto"/>
                <w:spacing w:val="15"/>
                <w:lang w:eastAsia="zh-CN"/>
              </w:rPr>
              <w:t>入中心静脉</w:t>
            </w:r>
            <w:r>
              <w:rPr>
                <w:color w:val="auto"/>
                <w:spacing w:val="2"/>
                <w:lang w:eastAsia="zh-CN"/>
              </w:rPr>
              <w:t>导管</w:t>
            </w:r>
            <w:r>
              <w:rPr>
                <w:color w:val="auto"/>
                <w:spacing w:val="11"/>
                <w:lang w:eastAsia="zh-CN"/>
              </w:rPr>
              <w:t>（</w:t>
            </w:r>
            <w:r>
              <w:rPr>
                <w:rFonts w:ascii="Times New Roman" w:hAnsi="Times New Roman" w:eastAsia="Times New Roman" w:cs="Times New Roman"/>
                <w:color w:val="auto"/>
                <w:lang w:eastAsia="zh-CN"/>
              </w:rPr>
              <w:t>PICC</w:t>
            </w:r>
            <w:r>
              <w:rPr>
                <w:color w:val="auto"/>
                <w:spacing w:val="11"/>
                <w:lang w:eastAsia="zh-CN"/>
              </w:rPr>
              <w:t>）非</w:t>
            </w:r>
            <w:r>
              <w:rPr>
                <w:color w:val="auto"/>
                <w:spacing w:val="8"/>
                <w:lang w:eastAsia="zh-CN"/>
              </w:rPr>
              <w:t>计划拔管率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spacing w:line="240" w:lineRule="exact"/>
              <w:rPr>
                <w:color w:val="auto"/>
                <w:lang w:eastAsia="zh-CN"/>
              </w:rPr>
            </w:pPr>
          </w:p>
          <w:p>
            <w:pPr>
              <w:pStyle w:val="8"/>
              <w:spacing w:before="0" w:line="240" w:lineRule="exact"/>
              <w:ind w:left="15" w:right="173" w:firstLine="52"/>
              <w:rPr>
                <w:rFonts w:ascii="Times New Roman" w:hAnsi="Times New Roman" w:eastAsia="Times New Roman" w:cs="Times New Roman"/>
                <w:color w:val="auto"/>
                <w:lang w:eastAsia="zh-CN"/>
              </w:rPr>
            </w:pPr>
            <w:r>
              <w:rPr>
                <w:color w:val="auto"/>
                <w:spacing w:val="12"/>
                <w:lang w:eastAsia="zh-CN"/>
              </w:rPr>
              <w:t>=</w:t>
            </w:r>
            <w:r>
              <w:rPr>
                <w:rFonts w:ascii="Times New Roman" w:hAnsi="Times New Roman" w:eastAsia="Times New Roman" w:cs="Times New Roman"/>
                <w:color w:val="auto"/>
                <w:lang w:eastAsia="zh-CN"/>
              </w:rPr>
              <w:t>PICC</w:t>
            </w:r>
            <w:r>
              <w:rPr>
                <w:color w:val="auto"/>
                <w:spacing w:val="12"/>
                <w:lang w:eastAsia="zh-CN"/>
              </w:rPr>
              <w:t>非计划拔管例次数</w:t>
            </w:r>
            <w:r>
              <w:rPr>
                <w:rFonts w:ascii="Times New Roman" w:hAnsi="Times New Roman" w:eastAsia="Times New Roman" w:cs="Times New Roman"/>
                <w:color w:val="auto"/>
                <w:spacing w:val="12"/>
                <w:lang w:eastAsia="zh-CN"/>
              </w:rPr>
              <w:t>/</w:t>
            </w:r>
            <w:r>
              <w:rPr>
                <w:color w:val="auto"/>
                <w:spacing w:val="12"/>
                <w:lang w:eastAsia="zh-CN"/>
              </w:rPr>
              <w:t>同期</w:t>
            </w:r>
            <w:r>
              <w:rPr>
                <w:rFonts w:ascii="Times New Roman" w:hAnsi="Times New Roman" w:eastAsia="Times New Roman" w:cs="Times New Roman"/>
                <w:color w:val="auto"/>
                <w:lang w:eastAsia="zh-CN"/>
              </w:rPr>
              <w:t>PICC</w:t>
            </w:r>
            <w:r>
              <w:rPr>
                <w:color w:val="auto"/>
                <w:spacing w:val="4"/>
                <w:lang w:eastAsia="zh-CN"/>
              </w:rPr>
              <w:t>留置总日数</w:t>
            </w:r>
            <w:r>
              <w:rPr>
                <w:rFonts w:ascii="Times New Roman" w:hAnsi="Times New Roman" w:eastAsia="Times New Roman" w:cs="Times New Roman"/>
                <w:color w:val="auto"/>
                <w:spacing w:val="4"/>
                <w:lang w:eastAsia="zh-CN"/>
              </w:rPr>
              <w:t>×1000‰</w:t>
            </w:r>
          </w:p>
        </w:tc>
        <w:tc>
          <w:tcPr>
            <w:tcW w:w="3943" w:type="dxa"/>
          </w:tcPr>
          <w:p>
            <w:pPr>
              <w:pStyle w:val="8"/>
              <w:spacing w:before="0" w:line="240" w:lineRule="exact"/>
              <w:ind w:left="22" w:right="10" w:firstLine="3"/>
              <w:jc w:val="both"/>
              <w:rPr>
                <w:color w:val="auto"/>
                <w:lang w:eastAsia="zh-CN"/>
              </w:rPr>
            </w:pPr>
            <w:r>
              <w:rPr>
                <w:color w:val="auto"/>
                <w:spacing w:val="12"/>
                <w:lang w:eastAsia="zh-CN"/>
              </w:rPr>
              <w:t>经外周置入中心静脉导管（</w:t>
            </w:r>
            <w:r>
              <w:rPr>
                <w:rFonts w:ascii="Times New Roman" w:hAnsi="Times New Roman" w:eastAsia="Times New Roman" w:cs="Times New Roman"/>
                <w:color w:val="auto"/>
                <w:lang w:eastAsia="zh-CN"/>
              </w:rPr>
              <w:t>PICC</w:t>
            </w:r>
            <w:r>
              <w:rPr>
                <w:color w:val="auto"/>
                <w:spacing w:val="12"/>
                <w:lang w:eastAsia="zh-CN"/>
              </w:rPr>
              <w:t>）非计划拔</w:t>
            </w:r>
            <w:r>
              <w:rPr>
                <w:color w:val="auto"/>
                <w:spacing w:val="15"/>
                <w:lang w:eastAsia="zh-CN"/>
              </w:rPr>
              <w:t>管率指单位时间内住院患者发生经外周置入中心静脉导管非计划拔管的例次数与经外周</w:t>
            </w:r>
            <w:r>
              <w:rPr>
                <w:color w:val="auto"/>
                <w:spacing w:val="8"/>
                <w:lang w:eastAsia="zh-CN"/>
              </w:rPr>
              <w:t>置入中心静脉导管留置总日数的千分比。</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continue"/>
            <w:tcBorders>
              <w:top w:val="nil"/>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p>
            <w:pPr>
              <w:spacing w:line="240" w:lineRule="exact"/>
              <w:rPr>
                <w:color w:val="auto"/>
              </w:rPr>
            </w:pPr>
          </w:p>
          <w:p>
            <w:pPr>
              <w:pStyle w:val="8"/>
              <w:spacing w:before="0" w:line="240" w:lineRule="exact"/>
              <w:ind w:left="20" w:right="15" w:hanging="5"/>
              <w:jc w:val="both"/>
              <w:rPr>
                <w:color w:val="auto"/>
              </w:rPr>
            </w:pPr>
            <w:r>
              <w:rPr>
                <w:color w:val="auto"/>
                <w:spacing w:val="6"/>
              </w:rPr>
              <w:t>（八）护</w:t>
            </w:r>
            <w:r>
              <w:rPr>
                <w:color w:val="auto"/>
                <w:spacing w:val="23"/>
              </w:rPr>
              <w:t>理级别占</w:t>
            </w:r>
            <w:r>
              <w:rPr>
                <w:color w:val="auto"/>
              </w:rPr>
              <w:t>比</w:t>
            </w:r>
          </w:p>
        </w:tc>
        <w:tc>
          <w:tcPr>
            <w:tcW w:w="1062" w:type="dxa"/>
          </w:tcPr>
          <w:p>
            <w:pPr>
              <w:spacing w:line="240" w:lineRule="exact"/>
              <w:rPr>
                <w:color w:val="auto"/>
              </w:rPr>
            </w:pPr>
          </w:p>
          <w:p>
            <w:pPr>
              <w:pStyle w:val="8"/>
              <w:spacing w:before="0" w:line="240" w:lineRule="exact"/>
              <w:ind w:left="50" w:right="14" w:hanging="16"/>
              <w:rPr>
                <w:color w:val="auto"/>
              </w:rPr>
            </w:pPr>
            <w:r>
              <w:rPr>
                <w:rFonts w:ascii="Times New Roman" w:hAnsi="Times New Roman" w:eastAsia="Times New Roman" w:cs="Times New Roman"/>
                <w:color w:val="auto"/>
                <w:spacing w:val="12"/>
              </w:rPr>
              <w:t>1.</w:t>
            </w:r>
            <w:r>
              <w:rPr>
                <w:color w:val="auto"/>
                <w:spacing w:val="12"/>
              </w:rPr>
              <w:t>特级护理</w:t>
            </w:r>
            <w:r>
              <w:rPr>
                <w:color w:val="auto"/>
                <w:spacing w:val="-11"/>
              </w:rPr>
              <w:t>占比</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1" w:right="156"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特级护理患者占用床日数</w:t>
            </w:r>
            <w:r>
              <w:rPr>
                <w:rFonts w:ascii="Times New Roman" w:hAnsi="Times New Roman" w:eastAsia="Times New Roman" w:cs="Times New Roman"/>
                <w:color w:val="auto"/>
                <w:spacing w:val="8"/>
                <w:lang w:eastAsia="zh-CN"/>
              </w:rPr>
              <w:t>/</w:t>
            </w:r>
            <w:r>
              <w:rPr>
                <w:color w:val="auto"/>
                <w:spacing w:val="8"/>
                <w:lang w:eastAsia="zh-CN"/>
              </w:rPr>
              <w:t>住院</w:t>
            </w:r>
            <w:r>
              <w:rPr>
                <w:color w:val="auto"/>
                <w:spacing w:val="5"/>
                <w:lang w:eastAsia="zh-CN"/>
              </w:rPr>
              <w:t>患者实际占用床日数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6" w:right="12"/>
              <w:rPr>
                <w:color w:val="auto"/>
                <w:lang w:eastAsia="zh-CN"/>
              </w:rPr>
            </w:pPr>
            <w:r>
              <w:rPr>
                <w:color w:val="auto"/>
                <w:spacing w:val="4"/>
                <w:lang w:eastAsia="zh-CN"/>
              </w:rPr>
              <w:t>单位时间内，医疗机构特级护理患者占用床日</w:t>
            </w:r>
            <w:r>
              <w:rPr>
                <w:color w:val="auto"/>
                <w:spacing w:val="8"/>
                <w:lang w:eastAsia="zh-CN"/>
              </w:rPr>
              <w:t>数与住院患者实际占用床日数的百分比。</w:t>
            </w:r>
          </w:p>
          <w:p>
            <w:pPr>
              <w:pStyle w:val="8"/>
              <w:spacing w:before="0" w:line="240" w:lineRule="exact"/>
              <w:ind w:left="21"/>
              <w:jc w:val="both"/>
              <w:rPr>
                <w:color w:val="auto"/>
                <w:lang w:eastAsia="zh-CN"/>
              </w:rPr>
            </w:pPr>
            <w:r>
              <w:rPr>
                <w:color w:val="auto"/>
                <w:spacing w:val="3"/>
                <w:lang w:eastAsia="zh-CN"/>
              </w:rPr>
              <w:t>说明：特级护理：病情危重，随时可能发生病情变化需要进行监护、抢救的患者，各种复杂</w:t>
            </w:r>
            <w:r>
              <w:rPr>
                <w:color w:val="auto"/>
                <w:spacing w:val="5"/>
                <w:lang w:eastAsia="zh-CN"/>
              </w:rPr>
              <w:t>或大手术后、严重创伤或大面积烧伤的患者。</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50" w:right="14" w:hanging="35"/>
              <w:rPr>
                <w:color w:val="auto"/>
              </w:rPr>
            </w:pPr>
            <w:r>
              <w:rPr>
                <w:rFonts w:ascii="Times New Roman" w:hAnsi="Times New Roman" w:eastAsia="Times New Roman" w:cs="Times New Roman"/>
                <w:color w:val="auto"/>
                <w:spacing w:val="7"/>
              </w:rPr>
              <w:t>2.</w:t>
            </w:r>
            <w:r>
              <w:rPr>
                <w:color w:val="auto"/>
                <w:spacing w:val="7"/>
              </w:rPr>
              <w:t>一级护理</w:t>
            </w:r>
            <w:r>
              <w:rPr>
                <w:color w:val="auto"/>
                <w:spacing w:val="-11"/>
              </w:rPr>
              <w:t>占比</w:t>
            </w:r>
          </w:p>
        </w:tc>
        <w:tc>
          <w:tcPr>
            <w:tcW w:w="1814" w:type="dxa"/>
          </w:tcPr>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1" w:right="156"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一级护理患者占用床日数</w:t>
            </w:r>
            <w:r>
              <w:rPr>
                <w:rFonts w:ascii="Times New Roman" w:hAnsi="Times New Roman" w:eastAsia="Times New Roman" w:cs="Times New Roman"/>
                <w:color w:val="auto"/>
                <w:spacing w:val="8"/>
                <w:lang w:eastAsia="zh-CN"/>
              </w:rPr>
              <w:t>/</w:t>
            </w:r>
            <w:r>
              <w:rPr>
                <w:color w:val="auto"/>
                <w:spacing w:val="8"/>
                <w:lang w:eastAsia="zh-CN"/>
              </w:rPr>
              <w:t>住院</w:t>
            </w:r>
            <w:r>
              <w:rPr>
                <w:color w:val="auto"/>
                <w:spacing w:val="5"/>
                <w:lang w:eastAsia="zh-CN"/>
              </w:rPr>
              <w:t>患者实际占用床日数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6" w:right="12"/>
              <w:rPr>
                <w:color w:val="auto"/>
                <w:lang w:eastAsia="zh-CN"/>
              </w:rPr>
            </w:pPr>
            <w:r>
              <w:rPr>
                <w:color w:val="auto"/>
                <w:spacing w:val="4"/>
                <w:lang w:eastAsia="zh-CN"/>
              </w:rPr>
              <w:t>单位时间内，医疗机构一级护理患者占用床日</w:t>
            </w:r>
            <w:r>
              <w:rPr>
                <w:color w:val="auto"/>
                <w:spacing w:val="8"/>
                <w:lang w:eastAsia="zh-CN"/>
              </w:rPr>
              <w:t>数与住院患者实际占用床日数的百分比。</w:t>
            </w:r>
          </w:p>
          <w:p>
            <w:pPr>
              <w:pStyle w:val="8"/>
              <w:spacing w:before="0" w:line="240" w:lineRule="exact"/>
              <w:ind w:left="22" w:hanging="1"/>
              <w:rPr>
                <w:color w:val="auto"/>
                <w:lang w:eastAsia="zh-CN"/>
              </w:rPr>
            </w:pPr>
            <w:r>
              <w:rPr>
                <w:color w:val="auto"/>
                <w:spacing w:val="5"/>
                <w:lang w:eastAsia="zh-CN"/>
              </w:rPr>
              <w:t>说明：一级护理：病情趋向稳定的重症患者；</w:t>
            </w:r>
            <w:r>
              <w:rPr>
                <w:color w:val="auto"/>
                <w:spacing w:val="4"/>
                <w:lang w:eastAsia="zh-CN"/>
              </w:rPr>
              <w:t>病情不稳定或随时可能发生变化的患者；手术</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sz w:val="17"/>
        </w:rPr>
      </w:pPr>
    </w:p>
    <w:p>
      <w:pPr>
        <w:spacing w:line="240" w:lineRule="exact"/>
        <w:rPr>
          <w:color w:val="auto"/>
          <w:sz w:val="17"/>
          <w:szCs w:val="17"/>
        </w:rPr>
        <w:sectPr>
          <w:footerReference r:id="rId37"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3" w:type="dxa"/>
          </w:tcPr>
          <w:p>
            <w:pPr>
              <w:pStyle w:val="8"/>
              <w:spacing w:before="0" w:line="240" w:lineRule="exact"/>
              <w:ind w:left="24" w:right="10" w:hanging="1"/>
              <w:rPr>
                <w:color w:val="auto"/>
                <w:lang w:eastAsia="zh-CN"/>
              </w:rPr>
            </w:pPr>
            <w:r>
              <w:rPr>
                <w:color w:val="auto"/>
                <w:spacing w:val="5"/>
                <w:lang w:eastAsia="zh-CN"/>
              </w:rPr>
              <w:t>后或者治疗期间需要严格卧床的患者；自理能</w:t>
            </w:r>
            <w:r>
              <w:rPr>
                <w:color w:val="auto"/>
                <w:spacing w:val="7"/>
                <w:lang w:eastAsia="zh-CN"/>
              </w:rPr>
              <w:t>力重度依赖的患者。</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269" w:type="dxa"/>
            <w:vMerge w:val="continue"/>
            <w:tcBorders>
              <w:top w:val="nil"/>
              <w:bottom w:val="nil"/>
            </w:tcBorders>
          </w:tcPr>
          <w:p>
            <w:pPr>
              <w:spacing w:line="240" w:lineRule="exact"/>
              <w:rPr>
                <w:color w:val="auto"/>
                <w:lang w:eastAsia="zh-CN"/>
              </w:rPr>
            </w:pPr>
          </w:p>
        </w:tc>
        <w:tc>
          <w:tcPr>
            <w:tcW w:w="895" w:type="dxa"/>
            <w:vMerge w:val="continue"/>
            <w:tcBorders>
              <w:top w:val="nil"/>
              <w:bottom w:val="nil"/>
            </w:tcBorders>
          </w:tcPr>
          <w:p>
            <w:pPr>
              <w:spacing w:line="240" w:lineRule="exact"/>
              <w:rPr>
                <w:color w:val="auto"/>
                <w:lang w:eastAsia="zh-CN"/>
              </w:rPr>
            </w:pPr>
          </w:p>
        </w:tc>
        <w:tc>
          <w:tcPr>
            <w:tcW w:w="106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50" w:right="14" w:hanging="31"/>
              <w:rPr>
                <w:color w:val="auto"/>
              </w:rPr>
            </w:pPr>
            <w:r>
              <w:rPr>
                <w:rFonts w:ascii="Times New Roman" w:hAnsi="Times New Roman" w:eastAsia="Times New Roman" w:cs="Times New Roman"/>
                <w:color w:val="auto"/>
                <w:spacing w:val="7"/>
              </w:rPr>
              <w:t>3.</w:t>
            </w:r>
            <w:r>
              <w:rPr>
                <w:color w:val="auto"/>
                <w:spacing w:val="7"/>
              </w:rPr>
              <w:t>二级护理</w:t>
            </w:r>
            <w:r>
              <w:rPr>
                <w:color w:val="auto"/>
                <w:spacing w:val="-11"/>
              </w:rPr>
              <w:t>占比</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1" w:right="156"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二级护理患者占用床日数</w:t>
            </w:r>
            <w:r>
              <w:rPr>
                <w:rFonts w:ascii="Times New Roman" w:hAnsi="Times New Roman" w:eastAsia="Times New Roman" w:cs="Times New Roman"/>
                <w:color w:val="auto"/>
                <w:spacing w:val="8"/>
                <w:lang w:eastAsia="zh-CN"/>
              </w:rPr>
              <w:t>/</w:t>
            </w:r>
            <w:r>
              <w:rPr>
                <w:color w:val="auto"/>
                <w:spacing w:val="8"/>
                <w:lang w:eastAsia="zh-CN"/>
              </w:rPr>
              <w:t>住院</w:t>
            </w:r>
            <w:r>
              <w:rPr>
                <w:color w:val="auto"/>
                <w:spacing w:val="5"/>
                <w:lang w:eastAsia="zh-CN"/>
              </w:rPr>
              <w:t>患者实际占用床日数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6" w:right="12"/>
              <w:rPr>
                <w:color w:val="auto"/>
                <w:lang w:eastAsia="zh-CN"/>
              </w:rPr>
            </w:pPr>
            <w:r>
              <w:rPr>
                <w:color w:val="auto"/>
                <w:spacing w:val="4"/>
                <w:lang w:eastAsia="zh-CN"/>
              </w:rPr>
              <w:t>单位时间内，医疗机构二级护理患者占用床日</w:t>
            </w:r>
            <w:r>
              <w:rPr>
                <w:color w:val="auto"/>
                <w:spacing w:val="8"/>
                <w:lang w:eastAsia="zh-CN"/>
              </w:rPr>
              <w:t>数与住院患者实际占用床日数的百分比。</w:t>
            </w:r>
          </w:p>
          <w:p>
            <w:pPr>
              <w:pStyle w:val="8"/>
              <w:spacing w:before="0" w:line="240" w:lineRule="exact"/>
              <w:ind w:left="18" w:firstLine="3"/>
              <w:jc w:val="both"/>
              <w:rPr>
                <w:color w:val="auto"/>
                <w:lang w:eastAsia="zh-CN"/>
              </w:rPr>
            </w:pPr>
            <w:r>
              <w:rPr>
                <w:color w:val="auto"/>
                <w:spacing w:val="4"/>
                <w:lang w:eastAsia="zh-CN"/>
              </w:rPr>
              <w:t>说明：二级护理：病情趋于稳定或未明确诊断</w:t>
            </w:r>
            <w:r>
              <w:rPr>
                <w:color w:val="auto"/>
                <w:spacing w:val="5"/>
                <w:lang w:eastAsia="zh-CN"/>
              </w:rPr>
              <w:t>前，仍需观察，且自理能力轻度依赖的患者；</w:t>
            </w:r>
            <w:r>
              <w:rPr>
                <w:color w:val="auto"/>
                <w:spacing w:val="8"/>
                <w:lang w:eastAsia="zh-CN"/>
              </w:rPr>
              <w:t>病情稳定</w:t>
            </w:r>
            <w:r>
              <w:rPr>
                <w:rFonts w:ascii="Times New Roman" w:hAnsi="Times New Roman" w:eastAsia="Times New Roman" w:cs="Times New Roman"/>
                <w:color w:val="auto"/>
                <w:spacing w:val="8"/>
                <w:lang w:eastAsia="zh-CN"/>
              </w:rPr>
              <w:t>.</w:t>
            </w:r>
            <w:r>
              <w:rPr>
                <w:color w:val="auto"/>
                <w:spacing w:val="8"/>
                <w:lang w:eastAsia="zh-CN"/>
              </w:rPr>
              <w:t>仍需卧床</w:t>
            </w:r>
            <w:r>
              <w:rPr>
                <w:rFonts w:ascii="Times New Roman" w:hAnsi="Times New Roman" w:eastAsia="Times New Roman" w:cs="Times New Roman"/>
                <w:color w:val="auto"/>
                <w:spacing w:val="8"/>
                <w:lang w:eastAsia="zh-CN"/>
              </w:rPr>
              <w:t>.</w:t>
            </w:r>
            <w:r>
              <w:rPr>
                <w:color w:val="auto"/>
                <w:spacing w:val="8"/>
                <w:lang w:eastAsia="zh-CN"/>
              </w:rPr>
              <w:t>且自理能力轻度依赖的患</w:t>
            </w:r>
            <w:r>
              <w:rPr>
                <w:color w:val="auto"/>
                <w:spacing w:val="4"/>
                <w:lang w:eastAsia="zh-CN"/>
              </w:rPr>
              <w:t>者；病情稳定或处于康复期，且自理能力中度</w:t>
            </w:r>
            <w:r>
              <w:rPr>
                <w:color w:val="auto"/>
                <w:spacing w:val="6"/>
                <w:lang w:eastAsia="zh-CN"/>
              </w:rPr>
              <w:t>依赖的患者。</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269" w:type="dxa"/>
            <w:vMerge w:val="continue"/>
            <w:tcBorders>
              <w:top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rPr>
            </w:pPr>
          </w:p>
          <w:p>
            <w:pPr>
              <w:pStyle w:val="8"/>
              <w:spacing w:before="0" w:line="240" w:lineRule="exact"/>
              <w:ind w:left="50" w:right="14" w:hanging="36"/>
              <w:rPr>
                <w:color w:val="auto"/>
              </w:rPr>
            </w:pPr>
            <w:r>
              <w:rPr>
                <w:rFonts w:ascii="Times New Roman" w:hAnsi="Times New Roman" w:eastAsia="Times New Roman" w:cs="Times New Roman"/>
                <w:color w:val="auto"/>
                <w:spacing w:val="13"/>
              </w:rPr>
              <w:t>4.</w:t>
            </w:r>
            <w:r>
              <w:rPr>
                <w:color w:val="auto"/>
                <w:spacing w:val="13"/>
              </w:rPr>
              <w:t>三级护理</w:t>
            </w:r>
            <w:r>
              <w:rPr>
                <w:color w:val="auto"/>
                <w:spacing w:val="-11"/>
              </w:rPr>
              <w:t>占比</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1" w:right="156"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三级护理患者占用床日数</w:t>
            </w:r>
            <w:r>
              <w:rPr>
                <w:rFonts w:ascii="Times New Roman" w:hAnsi="Times New Roman" w:eastAsia="Times New Roman" w:cs="Times New Roman"/>
                <w:color w:val="auto"/>
                <w:spacing w:val="8"/>
                <w:lang w:eastAsia="zh-CN"/>
              </w:rPr>
              <w:t>/</w:t>
            </w:r>
            <w:r>
              <w:rPr>
                <w:color w:val="auto"/>
                <w:spacing w:val="8"/>
                <w:lang w:eastAsia="zh-CN"/>
              </w:rPr>
              <w:t>住院</w:t>
            </w:r>
            <w:r>
              <w:rPr>
                <w:color w:val="auto"/>
                <w:spacing w:val="5"/>
                <w:lang w:eastAsia="zh-CN"/>
              </w:rPr>
              <w:t>患者实际占用床日数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6" w:right="12"/>
              <w:rPr>
                <w:color w:val="auto"/>
                <w:lang w:eastAsia="zh-CN"/>
              </w:rPr>
            </w:pPr>
            <w:r>
              <w:rPr>
                <w:color w:val="auto"/>
                <w:spacing w:val="4"/>
                <w:lang w:eastAsia="zh-CN"/>
              </w:rPr>
              <w:t>单位时间内，医疗机构三级护理患者占用床日</w:t>
            </w:r>
            <w:r>
              <w:rPr>
                <w:color w:val="auto"/>
                <w:spacing w:val="8"/>
                <w:lang w:eastAsia="zh-CN"/>
              </w:rPr>
              <w:t>数与住院患者实际占用床日数的百分比。</w:t>
            </w:r>
          </w:p>
          <w:p>
            <w:pPr>
              <w:pStyle w:val="8"/>
              <w:spacing w:before="0" w:line="240" w:lineRule="exact"/>
              <w:ind w:left="56" w:right="12" w:hanging="35"/>
              <w:rPr>
                <w:color w:val="auto"/>
                <w:lang w:eastAsia="zh-CN"/>
              </w:rPr>
            </w:pPr>
            <w:r>
              <w:rPr>
                <w:color w:val="auto"/>
                <w:spacing w:val="10"/>
                <w:lang w:eastAsia="zh-CN"/>
              </w:rPr>
              <w:t>说明：三级护理：病情稳定或处于康复期</w:t>
            </w:r>
            <w:r>
              <w:rPr>
                <w:rFonts w:ascii="Times New Roman" w:hAnsi="Times New Roman" w:eastAsia="Times New Roman" w:cs="Times New Roman"/>
                <w:color w:val="auto"/>
                <w:spacing w:val="10"/>
                <w:lang w:eastAsia="zh-CN"/>
              </w:rPr>
              <w:t>.</w:t>
            </w:r>
            <w:r>
              <w:rPr>
                <w:color w:val="auto"/>
                <w:spacing w:val="10"/>
                <w:lang w:eastAsia="zh-CN"/>
              </w:rPr>
              <w:t>且</w:t>
            </w:r>
            <w:r>
              <w:rPr>
                <w:color w:val="auto"/>
                <w:spacing w:val="6"/>
                <w:lang w:eastAsia="zh-CN"/>
              </w:rPr>
              <w:t>自理能力轻度依赖或无需依赖的患者。</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9" w:hRule="atLeast"/>
        </w:trPr>
        <w:tc>
          <w:tcPr>
            <w:tcW w:w="1269" w:type="dxa"/>
            <w:vMerge w:val="restart"/>
            <w:tcBorders>
              <w:bottom w:val="nil"/>
            </w:tcBorders>
          </w:tcPr>
          <w:p>
            <w:pPr>
              <w:pStyle w:val="8"/>
              <w:spacing w:before="0" w:line="240" w:lineRule="exact"/>
              <w:ind w:left="25" w:right="15" w:firstLine="6"/>
              <w:jc w:val="both"/>
              <w:rPr>
                <w:color w:val="auto"/>
                <w:lang w:eastAsia="zh-CN"/>
              </w:rPr>
            </w:pPr>
            <w:r>
              <w:rPr>
                <w:color w:val="auto"/>
                <w:spacing w:val="12"/>
                <w:lang w:eastAsia="zh-CN"/>
              </w:rPr>
              <w:t>六、药事管理</w:t>
            </w:r>
            <w:r>
              <w:rPr>
                <w:color w:val="auto"/>
                <w:spacing w:val="13"/>
                <w:lang w:eastAsia="zh-CN"/>
              </w:rPr>
              <w:t>专业医疗质量</w:t>
            </w:r>
            <w:r>
              <w:rPr>
                <w:color w:val="auto"/>
                <w:spacing w:val="7"/>
                <w:lang w:eastAsia="zh-CN"/>
              </w:rPr>
              <w:t>控制指标</w:t>
            </w:r>
          </w:p>
        </w:tc>
        <w:tc>
          <w:tcPr>
            <w:tcW w:w="1957" w:type="dxa"/>
            <w:gridSpan w:val="2"/>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2" w:right="14" w:hanging="17"/>
              <w:rPr>
                <w:color w:val="auto"/>
                <w:lang w:eastAsia="zh-CN"/>
              </w:rPr>
            </w:pPr>
            <w:r>
              <w:rPr>
                <w:color w:val="auto"/>
                <w:spacing w:val="-3"/>
                <w:lang w:eastAsia="zh-CN"/>
              </w:rPr>
              <w:t>（一）药学专业技术人</w:t>
            </w:r>
            <w:r>
              <w:rPr>
                <w:color w:val="auto"/>
                <w:spacing w:val="2"/>
                <w:lang w:eastAsia="zh-CN"/>
              </w:rPr>
              <w:t>员占比</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8" w:right="154" w:hanging="2"/>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药学专业技术人员数</w:t>
            </w:r>
            <w:r>
              <w:rPr>
                <w:rFonts w:ascii="Times New Roman" w:hAnsi="Times New Roman" w:eastAsia="Times New Roman" w:cs="Times New Roman"/>
                <w:color w:val="auto"/>
                <w:spacing w:val="8"/>
                <w:lang w:eastAsia="zh-CN"/>
              </w:rPr>
              <w:t>/</w:t>
            </w:r>
            <w:r>
              <w:rPr>
                <w:color w:val="auto"/>
                <w:spacing w:val="8"/>
                <w:lang w:eastAsia="zh-CN"/>
              </w:rPr>
              <w:t>同期医疗</w:t>
            </w:r>
            <w:r>
              <w:rPr>
                <w:color w:val="auto"/>
                <w:spacing w:val="9"/>
                <w:lang w:eastAsia="zh-CN"/>
              </w:rPr>
              <w:t>机构卫生专业技术人员总数</w:t>
            </w:r>
          </w:p>
          <w:p>
            <w:pPr>
              <w:spacing w:line="240" w:lineRule="exact"/>
              <w:ind w:left="28"/>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position w:val="2"/>
                <w:sz w:val="19"/>
                <w:szCs w:val="19"/>
              </w:rPr>
              <w:t>×100%</w:t>
            </w:r>
          </w:p>
        </w:tc>
        <w:tc>
          <w:tcPr>
            <w:tcW w:w="3943" w:type="dxa"/>
          </w:tcPr>
          <w:p>
            <w:pPr>
              <w:pStyle w:val="8"/>
              <w:spacing w:before="0" w:line="240" w:lineRule="exact"/>
              <w:ind w:left="29" w:right="10" w:firstLine="2"/>
              <w:rPr>
                <w:color w:val="auto"/>
                <w:lang w:eastAsia="zh-CN"/>
              </w:rPr>
            </w:pPr>
            <w:r>
              <w:rPr>
                <w:color w:val="auto"/>
                <w:spacing w:val="15"/>
                <w:lang w:eastAsia="zh-CN"/>
              </w:rPr>
              <w:t>药学专业技术人员数占同期医疗机构卫生专</w:t>
            </w:r>
            <w:r>
              <w:rPr>
                <w:color w:val="auto"/>
                <w:spacing w:val="7"/>
                <w:lang w:eastAsia="zh-CN"/>
              </w:rPr>
              <w:t>业技术人员总数的比例。</w:t>
            </w:r>
          </w:p>
          <w:p>
            <w:pPr>
              <w:pStyle w:val="8"/>
              <w:spacing w:before="0" w:line="240" w:lineRule="exact"/>
              <w:ind w:left="19" w:right="10" w:firstLine="1"/>
              <w:jc w:val="both"/>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）药学专业技术人员是指按照有关</w:t>
            </w:r>
            <w:r>
              <w:rPr>
                <w:color w:val="auto"/>
                <w:spacing w:val="15"/>
                <w:lang w:eastAsia="zh-CN"/>
              </w:rPr>
              <w:t>规定取得药学专业任职资格的由医疗机构聘</w:t>
            </w:r>
            <w:r>
              <w:rPr>
                <w:color w:val="auto"/>
                <w:spacing w:val="5"/>
                <w:lang w:eastAsia="zh-CN"/>
              </w:rPr>
              <w:t>任的在职人员。卫生专业技术人员是指由医疗机构聘任的在职卫生专业技术人员，不含后勤</w:t>
            </w:r>
            <w:r>
              <w:rPr>
                <w:color w:val="auto"/>
                <w:spacing w:val="7"/>
                <w:lang w:eastAsia="zh-CN"/>
              </w:rPr>
              <w:t>等辅助部门的人员。</w:t>
            </w:r>
          </w:p>
          <w:p>
            <w:pPr>
              <w:pStyle w:val="8"/>
              <w:spacing w:before="0" w:line="240" w:lineRule="exact"/>
              <w:ind w:left="21" w:hanging="3"/>
              <w:jc w:val="both"/>
              <w:rPr>
                <w:color w:val="auto"/>
                <w:lang w:eastAsia="zh-CN"/>
              </w:rPr>
            </w:pPr>
            <w:r>
              <w:rPr>
                <w:color w:val="auto"/>
                <w:spacing w:val="1"/>
                <w:lang w:eastAsia="zh-CN"/>
              </w:rPr>
              <w:t>（</w:t>
            </w:r>
            <w:r>
              <w:rPr>
                <w:rFonts w:ascii="Times New Roman" w:hAnsi="Times New Roman" w:eastAsia="Times New Roman" w:cs="Times New Roman"/>
                <w:color w:val="auto"/>
                <w:spacing w:val="1"/>
                <w:lang w:eastAsia="zh-CN"/>
              </w:rPr>
              <w:t>2</w:t>
            </w:r>
            <w:r>
              <w:rPr>
                <w:color w:val="auto"/>
                <w:spacing w:val="1"/>
                <w:lang w:eastAsia="zh-CN"/>
              </w:rPr>
              <w:t>）康复专科医院药品使用量低于综合医院，</w:t>
            </w:r>
            <w:r>
              <w:rPr>
                <w:color w:val="auto"/>
                <w:spacing w:val="5"/>
                <w:lang w:eastAsia="zh-CN"/>
              </w:rPr>
              <w:t>一般保持配置满足排班和岗位设置需要即可。</w:t>
            </w:r>
            <w:r>
              <w:rPr>
                <w:color w:val="auto"/>
                <w:spacing w:val="13"/>
                <w:lang w:eastAsia="zh-CN"/>
              </w:rPr>
              <w:t>有静脉用药配置中心的根据实际需要另外增</w:t>
            </w:r>
            <w:r>
              <w:rPr>
                <w:color w:val="auto"/>
                <w:spacing w:val="6"/>
                <w:lang w:eastAsia="zh-CN"/>
              </w:rPr>
              <w:t>加药学专业技术人员。</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lang w:eastAsia="zh-CN"/>
              </w:rPr>
            </w:pPr>
          </w:p>
          <w:p>
            <w:pPr>
              <w:spacing w:line="240" w:lineRule="exact"/>
              <w:rPr>
                <w:color w:val="auto"/>
                <w:lang w:eastAsia="zh-CN"/>
              </w:rPr>
            </w:pPr>
          </w:p>
          <w:p>
            <w:pPr>
              <w:pStyle w:val="8"/>
              <w:spacing w:before="0" w:line="240" w:lineRule="exact"/>
              <w:ind w:left="29" w:right="14" w:hanging="14"/>
              <w:rPr>
                <w:color w:val="auto"/>
                <w:lang w:eastAsia="zh-CN"/>
              </w:rPr>
            </w:pPr>
            <w:r>
              <w:rPr>
                <w:color w:val="auto"/>
                <w:spacing w:val="-3"/>
                <w:lang w:eastAsia="zh-CN"/>
              </w:rPr>
              <w:t>（二）每百张床位临床</w:t>
            </w:r>
            <w:r>
              <w:rPr>
                <w:color w:val="auto"/>
                <w:spacing w:val="5"/>
                <w:lang w:eastAsia="zh-CN"/>
              </w:rPr>
              <w:t>药师人数</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6" w:right="15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临床药师人数</w:t>
            </w:r>
            <w:r>
              <w:rPr>
                <w:rFonts w:ascii="Times New Roman" w:hAnsi="Times New Roman" w:eastAsia="Times New Roman" w:cs="Times New Roman"/>
                <w:color w:val="auto"/>
                <w:spacing w:val="8"/>
                <w:lang w:eastAsia="zh-CN"/>
              </w:rPr>
              <w:t>/</w:t>
            </w:r>
            <w:r>
              <w:rPr>
                <w:color w:val="auto"/>
                <w:spacing w:val="8"/>
                <w:lang w:eastAsia="zh-CN"/>
              </w:rPr>
              <w:t>同期实际开放床</w:t>
            </w:r>
            <w:r>
              <w:rPr>
                <w:color w:val="auto"/>
                <w:spacing w:val="2"/>
                <w:lang w:eastAsia="zh-CN"/>
              </w:rPr>
              <w:t>位数</w:t>
            </w:r>
            <w:r>
              <w:rPr>
                <w:rFonts w:ascii="Times New Roman" w:hAnsi="Times New Roman" w:eastAsia="Times New Roman" w:cs="Times New Roman"/>
                <w:color w:val="auto"/>
                <w:spacing w:val="2"/>
                <w:lang w:eastAsia="zh-CN"/>
              </w:rPr>
              <w:t>×100%</w:t>
            </w:r>
          </w:p>
        </w:tc>
        <w:tc>
          <w:tcPr>
            <w:tcW w:w="3943" w:type="dxa"/>
          </w:tcPr>
          <w:p>
            <w:pPr>
              <w:pStyle w:val="8"/>
              <w:spacing w:before="0" w:line="240" w:lineRule="exact"/>
              <w:ind w:left="21"/>
              <w:rPr>
                <w:color w:val="auto"/>
                <w:lang w:eastAsia="zh-CN"/>
              </w:rPr>
            </w:pPr>
            <w:r>
              <w:rPr>
                <w:color w:val="auto"/>
                <w:spacing w:val="5"/>
                <w:lang w:eastAsia="zh-CN"/>
              </w:rPr>
              <w:t>每</w:t>
            </w:r>
            <w:r>
              <w:rPr>
                <w:rFonts w:ascii="Times New Roman" w:hAnsi="Times New Roman" w:eastAsia="Times New Roman" w:cs="Times New Roman"/>
                <w:color w:val="auto"/>
                <w:spacing w:val="5"/>
                <w:lang w:eastAsia="zh-CN"/>
              </w:rPr>
              <w:t>100</w:t>
            </w:r>
            <w:r>
              <w:rPr>
                <w:color w:val="auto"/>
                <w:spacing w:val="5"/>
                <w:lang w:eastAsia="zh-CN"/>
              </w:rPr>
              <w:t>张实际开放床位临床药师人数。</w:t>
            </w:r>
          </w:p>
          <w:p>
            <w:pPr>
              <w:pStyle w:val="8"/>
              <w:spacing w:before="0" w:line="240" w:lineRule="exact"/>
              <w:ind w:left="25" w:right="10" w:hanging="4"/>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）临床药师是指以系统药学专业知</w:t>
            </w:r>
            <w:r>
              <w:rPr>
                <w:color w:val="auto"/>
                <w:spacing w:val="5"/>
                <w:lang w:eastAsia="zh-CN"/>
              </w:rPr>
              <w:t>识为基础，并具有一定医学和相关专业基础知识与技能，并应当经过规范化培训，直接参与临床用药，促进药物合理应用和保护患者用药</w:t>
            </w:r>
            <w:r>
              <w:rPr>
                <w:color w:val="auto"/>
                <w:spacing w:val="7"/>
                <w:lang w:eastAsia="zh-CN"/>
              </w:rPr>
              <w:t>安全的药学专业技术人员。</w:t>
            </w:r>
          </w:p>
          <w:p>
            <w:pPr>
              <w:pStyle w:val="8"/>
              <w:spacing w:before="0" w:line="240" w:lineRule="exact"/>
              <w:ind w:right="21"/>
              <w:jc w:val="right"/>
              <w:rPr>
                <w:color w:val="auto"/>
                <w:lang w:eastAsia="zh-CN"/>
              </w:rPr>
            </w:pPr>
            <w:r>
              <w:rPr>
                <w:color w:val="auto"/>
                <w:spacing w:val="9"/>
                <w:lang w:eastAsia="zh-CN"/>
              </w:rPr>
              <w:t>（</w:t>
            </w:r>
            <w:r>
              <w:rPr>
                <w:rFonts w:ascii="Times New Roman" w:hAnsi="Times New Roman" w:eastAsia="Times New Roman" w:cs="Times New Roman"/>
                <w:color w:val="auto"/>
                <w:spacing w:val="9"/>
                <w:lang w:eastAsia="zh-CN"/>
              </w:rPr>
              <w:t>2</w:t>
            </w:r>
            <w:r>
              <w:rPr>
                <w:color w:val="auto"/>
                <w:spacing w:val="9"/>
                <w:lang w:eastAsia="zh-CN"/>
              </w:rPr>
              <w:t>）根据康复专科医院的性质、任务、</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bl>
    <w:p>
      <w:pPr>
        <w:spacing w:line="240" w:lineRule="exact"/>
        <w:rPr>
          <w:color w:val="auto"/>
          <w:sz w:val="18"/>
        </w:rPr>
      </w:pPr>
    </w:p>
    <w:p>
      <w:pPr>
        <w:spacing w:line="240" w:lineRule="exact"/>
        <w:rPr>
          <w:color w:val="auto"/>
          <w:sz w:val="18"/>
          <w:szCs w:val="18"/>
        </w:rPr>
        <w:sectPr>
          <w:footerReference r:id="rId38"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4" w:type="dxa"/>
          </w:tcPr>
          <w:p>
            <w:pPr>
              <w:pStyle w:val="8"/>
              <w:spacing w:before="0" w:line="240" w:lineRule="exact"/>
              <w:ind w:left="31" w:right="12" w:hanging="3"/>
              <w:rPr>
                <w:color w:val="auto"/>
                <w:lang w:eastAsia="zh-CN"/>
              </w:rPr>
            </w:pPr>
            <w:r>
              <w:rPr>
                <w:color w:val="auto"/>
                <w:spacing w:val="4"/>
                <w:lang w:eastAsia="zh-CN"/>
              </w:rPr>
              <w:t>规模，临床药师设置不少于</w:t>
            </w:r>
            <w:r>
              <w:rPr>
                <w:rFonts w:ascii="Times New Roman" w:hAnsi="Times New Roman" w:eastAsia="Times New Roman" w:cs="Times New Roman"/>
                <w:color w:val="auto"/>
                <w:spacing w:val="4"/>
                <w:lang w:eastAsia="zh-CN"/>
              </w:rPr>
              <w:t>3</w:t>
            </w:r>
            <w:r>
              <w:rPr>
                <w:color w:val="auto"/>
                <w:spacing w:val="4"/>
                <w:lang w:eastAsia="zh-CN"/>
              </w:rPr>
              <w:t>名，且覆盖不少</w:t>
            </w:r>
            <w:r>
              <w:rPr>
                <w:color w:val="auto"/>
                <w:spacing w:val="5"/>
                <w:lang w:eastAsia="zh-CN"/>
              </w:rPr>
              <w:t>于</w:t>
            </w:r>
            <w:r>
              <w:rPr>
                <w:rFonts w:ascii="Times New Roman" w:hAnsi="Times New Roman" w:eastAsia="Times New Roman" w:cs="Times New Roman"/>
                <w:color w:val="auto"/>
                <w:spacing w:val="5"/>
                <w:lang w:eastAsia="zh-CN"/>
              </w:rPr>
              <w:t>3</w:t>
            </w:r>
            <w:r>
              <w:rPr>
                <w:color w:val="auto"/>
                <w:spacing w:val="5"/>
                <w:lang w:eastAsia="zh-CN"/>
              </w:rPr>
              <w:t>个临床药学专业。</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269" w:type="dxa"/>
            <w:vMerge w:val="continue"/>
            <w:tcBorders>
              <w:top w:val="nil"/>
              <w:bottom w:val="nil"/>
            </w:tcBorders>
          </w:tcPr>
          <w:p>
            <w:pPr>
              <w:spacing w:line="240" w:lineRule="exact"/>
              <w:rPr>
                <w:color w:val="auto"/>
                <w:lang w:eastAsia="zh-CN"/>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Pr>
                <w:color w:val="auto"/>
                <w:lang w:eastAsia="zh-CN"/>
              </w:rPr>
            </w:pPr>
            <w:r>
              <w:rPr>
                <w:color w:val="auto"/>
                <w:spacing w:val="2"/>
                <w:lang w:eastAsia="zh-CN"/>
              </w:rPr>
              <w:t>（三）门诊处方审核率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43" w:right="155" w:hanging="2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药师审核门诊处方人次数</w:t>
            </w:r>
            <w:r>
              <w:rPr>
                <w:rFonts w:ascii="Times New Roman" w:hAnsi="Times New Roman" w:eastAsia="Times New Roman" w:cs="Times New Roman"/>
                <w:color w:val="auto"/>
                <w:spacing w:val="8"/>
                <w:lang w:eastAsia="zh-CN"/>
              </w:rPr>
              <w:t>/</w:t>
            </w:r>
            <w:r>
              <w:rPr>
                <w:color w:val="auto"/>
                <w:spacing w:val="8"/>
                <w:lang w:eastAsia="zh-CN"/>
              </w:rPr>
              <w:t>同期</w:t>
            </w:r>
            <w:r>
              <w:rPr>
                <w:color w:val="auto"/>
                <w:spacing w:val="4"/>
                <w:lang w:eastAsia="zh-CN"/>
              </w:rPr>
              <w:t>门诊处方总人次数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23" w:right="10" w:firstLine="9"/>
              <w:rPr>
                <w:color w:val="auto"/>
                <w:lang w:eastAsia="zh-CN"/>
              </w:rPr>
            </w:pPr>
            <w:r>
              <w:rPr>
                <w:color w:val="auto"/>
                <w:spacing w:val="15"/>
                <w:lang w:eastAsia="zh-CN"/>
              </w:rPr>
              <w:t>药师审核门诊处方人次数占同期门诊处方总</w:t>
            </w:r>
            <w:r>
              <w:rPr>
                <w:color w:val="auto"/>
                <w:spacing w:val="7"/>
                <w:lang w:eastAsia="zh-CN"/>
              </w:rPr>
              <w:t>人次数的比例。</w:t>
            </w:r>
          </w:p>
          <w:p>
            <w:pPr>
              <w:pStyle w:val="8"/>
              <w:spacing w:before="0" w:line="240" w:lineRule="exact"/>
              <w:ind w:left="22" w:right="10"/>
              <w:jc w:val="both"/>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）处方审核是指药学专业技术人员</w:t>
            </w:r>
            <w:r>
              <w:rPr>
                <w:color w:val="auto"/>
                <w:spacing w:val="15"/>
                <w:lang w:eastAsia="zh-CN"/>
              </w:rPr>
              <w:t>运用专业知识与实践技能，根据相关法律法</w:t>
            </w:r>
            <w:r>
              <w:rPr>
                <w:color w:val="auto"/>
                <w:spacing w:val="5"/>
                <w:lang w:eastAsia="zh-CN"/>
              </w:rPr>
              <w:t>规、规章制度与技术规范等，对医师在诊疗活动中为患者开具的处方，进行合法性，规范性和适宜性审核，并做出是否同意调配发药决定</w:t>
            </w:r>
            <w:r>
              <w:rPr>
                <w:color w:val="auto"/>
                <w:spacing w:val="7"/>
                <w:lang w:eastAsia="zh-CN"/>
              </w:rPr>
              <w:t>的药学技术服务。</w:t>
            </w:r>
          </w:p>
          <w:p>
            <w:pPr>
              <w:pStyle w:val="8"/>
              <w:spacing w:before="0" w:line="240" w:lineRule="exact"/>
              <w:ind w:left="47" w:right="12" w:hanging="28"/>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）如有急诊处方，仅统计急诊患者，急诊</w:t>
            </w:r>
            <w:r>
              <w:rPr>
                <w:color w:val="auto"/>
                <w:spacing w:val="5"/>
                <w:lang w:eastAsia="zh-CN"/>
              </w:rPr>
              <w:t>留观和抢救患者除外。</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7" w:right="13" w:hanging="2"/>
              <w:rPr>
                <w:color w:val="auto"/>
                <w:lang w:eastAsia="zh-CN"/>
              </w:rPr>
            </w:pPr>
            <w:r>
              <w:rPr>
                <w:color w:val="auto"/>
                <w:spacing w:val="2"/>
                <w:lang w:eastAsia="zh-CN"/>
              </w:rPr>
              <w:t>（四）住院用药医嘱审</w:t>
            </w:r>
            <w:r>
              <w:rPr>
                <w:color w:val="auto"/>
                <w:spacing w:val="5"/>
                <w:lang w:eastAsia="zh-CN"/>
              </w:rPr>
              <w:t>核率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药品调配前药师审核住院患者</w:t>
            </w:r>
            <w:r>
              <w:rPr>
                <w:color w:val="auto"/>
                <w:spacing w:val="8"/>
                <w:lang w:eastAsia="zh-CN"/>
              </w:rPr>
              <w:t>用药医嘱条目数</w:t>
            </w:r>
            <w:r>
              <w:rPr>
                <w:rFonts w:ascii="Times New Roman" w:hAnsi="Times New Roman" w:eastAsia="Times New Roman" w:cs="Times New Roman"/>
                <w:color w:val="auto"/>
                <w:spacing w:val="8"/>
                <w:lang w:eastAsia="zh-CN"/>
              </w:rPr>
              <w:t>/</w:t>
            </w:r>
            <w:r>
              <w:rPr>
                <w:color w:val="auto"/>
                <w:spacing w:val="8"/>
                <w:lang w:eastAsia="zh-CN"/>
              </w:rPr>
              <w:t>同期住院患者用</w:t>
            </w:r>
            <w:r>
              <w:rPr>
                <w:color w:val="auto"/>
                <w:spacing w:val="5"/>
                <w:lang w:eastAsia="zh-CN"/>
              </w:rPr>
              <w:t>药医嘱总条目数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22" w:firstLine="10"/>
              <w:jc w:val="both"/>
              <w:rPr>
                <w:color w:val="auto"/>
                <w:lang w:eastAsia="zh-CN"/>
              </w:rPr>
            </w:pPr>
            <w:r>
              <w:rPr>
                <w:color w:val="auto"/>
                <w:spacing w:val="11"/>
                <w:lang w:eastAsia="zh-CN"/>
              </w:rPr>
              <w:t>药品调配前药师审核住院患者用药医嘱条目</w:t>
            </w:r>
            <w:r>
              <w:rPr>
                <w:color w:val="auto"/>
                <w:spacing w:val="5"/>
                <w:lang w:eastAsia="zh-CN"/>
              </w:rPr>
              <w:t>数占同期住院患者用药医嘱总条目数的比例。说明：为便于统计，住院患者用药医嘱（总）</w:t>
            </w:r>
            <w:r>
              <w:rPr>
                <w:color w:val="auto"/>
                <w:spacing w:val="1"/>
                <w:lang w:eastAsia="zh-CN"/>
              </w:rPr>
              <w:t>条目数均以出院患者用药医嘱（总）条目数计</w:t>
            </w:r>
            <w:r>
              <w:rPr>
                <w:color w:val="auto"/>
                <w:spacing w:val="-2"/>
                <w:lang w:eastAsia="zh-CN"/>
              </w:rPr>
              <w:t>算。</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31" w:right="13" w:hanging="16"/>
              <w:rPr>
                <w:color w:val="auto"/>
                <w:lang w:eastAsia="zh-CN"/>
              </w:rPr>
            </w:pPr>
            <w:r>
              <w:rPr>
                <w:color w:val="auto"/>
                <w:spacing w:val="2"/>
                <w:lang w:eastAsia="zh-CN"/>
              </w:rPr>
              <w:t>（五）点评处方占处方</w:t>
            </w:r>
            <w:r>
              <w:rPr>
                <w:color w:val="auto"/>
                <w:spacing w:val="5"/>
                <w:lang w:eastAsia="zh-CN"/>
              </w:rPr>
              <w:t>总数的比例</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67" w:firstLine="17"/>
              <w:rPr>
                <w:rFonts w:ascii="Times New Roman" w:hAnsi="Times New Roman" w:eastAsia="Times New Roman" w:cs="Times New Roman"/>
                <w:color w:val="auto"/>
                <w:lang w:eastAsia="zh-CN"/>
              </w:rPr>
            </w:pPr>
            <w:r>
              <w:rPr>
                <w:color w:val="auto"/>
                <w:spacing w:val="7"/>
                <w:lang w:eastAsia="zh-CN"/>
              </w:rPr>
              <w:t>点评处方占处方总数的比例</w:t>
            </w:r>
            <w:r>
              <w:rPr>
                <w:rFonts w:ascii="Times New Roman" w:hAnsi="Times New Roman" w:eastAsia="Times New Roman" w:cs="Times New Roman"/>
                <w:color w:val="auto"/>
                <w:spacing w:val="7"/>
                <w:lang w:eastAsia="zh-CN"/>
              </w:rPr>
              <w:t>=</w:t>
            </w:r>
            <w:r>
              <w:rPr>
                <w:color w:val="auto"/>
                <w:spacing w:val="7"/>
                <w:lang w:eastAsia="zh-CN"/>
              </w:rPr>
              <w:t>点</w:t>
            </w:r>
            <w:r>
              <w:rPr>
                <w:color w:val="auto"/>
                <w:spacing w:val="8"/>
                <w:lang w:eastAsia="zh-CN"/>
              </w:rPr>
              <w:t>评门诊处方人次数</w:t>
            </w:r>
            <w:r>
              <w:rPr>
                <w:rFonts w:ascii="Times New Roman" w:hAnsi="Times New Roman" w:eastAsia="Times New Roman" w:cs="Times New Roman"/>
                <w:color w:val="auto"/>
                <w:spacing w:val="8"/>
                <w:lang w:eastAsia="zh-CN"/>
              </w:rPr>
              <w:t>/</w:t>
            </w:r>
            <w:r>
              <w:rPr>
                <w:color w:val="auto"/>
                <w:spacing w:val="8"/>
                <w:lang w:eastAsia="zh-CN"/>
              </w:rPr>
              <w:t>同期处方总人</w:t>
            </w:r>
            <w:r>
              <w:rPr>
                <w:color w:val="auto"/>
                <w:spacing w:val="2"/>
                <w:lang w:eastAsia="zh-CN"/>
              </w:rPr>
              <w:t>次数</w:t>
            </w:r>
            <w:r>
              <w:rPr>
                <w:rFonts w:ascii="Times New Roman" w:hAnsi="Times New Roman" w:eastAsia="Times New Roman" w:cs="Times New Roman"/>
                <w:color w:val="auto"/>
                <w:spacing w:val="2"/>
                <w:lang w:eastAsia="zh-CN"/>
              </w:rPr>
              <w:t>×100%</w:t>
            </w:r>
          </w:p>
          <w:p>
            <w:pPr>
              <w:pStyle w:val="8"/>
              <w:spacing w:line="240" w:lineRule="exact"/>
              <w:ind w:left="22" w:right="67" w:firstLine="15"/>
              <w:rPr>
                <w:rFonts w:ascii="Times New Roman" w:hAnsi="Times New Roman" w:eastAsia="Times New Roman" w:cs="Times New Roman"/>
                <w:color w:val="auto"/>
                <w:lang w:eastAsia="zh-CN"/>
              </w:rPr>
            </w:pPr>
            <w:r>
              <w:rPr>
                <w:color w:val="auto"/>
                <w:spacing w:val="7"/>
                <w:lang w:eastAsia="zh-CN"/>
              </w:rPr>
              <w:t>点评出院患者医嘱比例</w:t>
            </w:r>
            <w:r>
              <w:rPr>
                <w:rFonts w:ascii="Times New Roman" w:hAnsi="Times New Roman" w:eastAsia="Times New Roman" w:cs="Times New Roman"/>
                <w:color w:val="auto"/>
                <w:spacing w:val="7"/>
                <w:lang w:eastAsia="zh-CN"/>
              </w:rPr>
              <w:t>=</w:t>
            </w:r>
            <w:r>
              <w:rPr>
                <w:color w:val="auto"/>
                <w:spacing w:val="7"/>
                <w:lang w:eastAsia="zh-CN"/>
              </w:rPr>
              <w:t>出院患</w:t>
            </w:r>
            <w:r>
              <w:rPr>
                <w:color w:val="auto"/>
                <w:spacing w:val="8"/>
                <w:lang w:eastAsia="zh-CN"/>
              </w:rPr>
              <w:t>者住院医嘱点评数</w:t>
            </w:r>
            <w:r>
              <w:rPr>
                <w:rFonts w:ascii="Times New Roman" w:hAnsi="Times New Roman" w:eastAsia="Times New Roman" w:cs="Times New Roman"/>
                <w:color w:val="auto"/>
                <w:spacing w:val="8"/>
                <w:lang w:eastAsia="zh-CN"/>
              </w:rPr>
              <w:t>/</w:t>
            </w:r>
            <w:r>
              <w:rPr>
                <w:color w:val="auto"/>
                <w:spacing w:val="8"/>
                <w:lang w:eastAsia="zh-CN"/>
              </w:rPr>
              <w:t>同期出院人数</w:t>
            </w:r>
            <w:r>
              <w:rPr>
                <w:rFonts w:ascii="Times New Roman" w:hAnsi="Times New Roman" w:eastAsia="Times New Roman" w:cs="Times New Roman"/>
                <w:color w:val="auto"/>
                <w:spacing w:val="-2"/>
                <w:lang w:eastAsia="zh-CN"/>
              </w:rPr>
              <w:t>×100%</w:t>
            </w:r>
          </w:p>
        </w:tc>
        <w:tc>
          <w:tcPr>
            <w:tcW w:w="3944" w:type="dxa"/>
          </w:tcPr>
          <w:p>
            <w:pPr>
              <w:pStyle w:val="8"/>
              <w:spacing w:before="0" w:line="240" w:lineRule="exact"/>
              <w:ind w:left="16" w:right="10" w:firstLine="8"/>
              <w:jc w:val="both"/>
              <w:rPr>
                <w:color w:val="auto"/>
                <w:lang w:eastAsia="zh-CN"/>
              </w:rPr>
            </w:pPr>
            <w:r>
              <w:rPr>
                <w:color w:val="auto"/>
                <w:spacing w:val="5"/>
                <w:lang w:eastAsia="zh-CN"/>
              </w:rPr>
              <w:t>年度点评处方数占处方总数的比例，点评处方</w:t>
            </w:r>
            <w:r>
              <w:rPr>
                <w:color w:val="auto"/>
                <w:spacing w:val="15"/>
                <w:lang w:eastAsia="zh-CN"/>
              </w:rPr>
              <w:t>包括点评门急诊处方和点评出院患者住院医</w:t>
            </w:r>
            <w:r>
              <w:rPr>
                <w:color w:val="auto"/>
                <w:spacing w:val="7"/>
                <w:lang w:eastAsia="zh-CN"/>
              </w:rPr>
              <w:t>嘱两部分。</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5"/>
              <w:rPr>
                <w:color w:val="auto"/>
                <w:lang w:eastAsia="zh-CN"/>
              </w:rPr>
            </w:pPr>
            <w:r>
              <w:rPr>
                <w:color w:val="auto"/>
                <w:spacing w:val="2"/>
                <w:lang w:eastAsia="zh-CN"/>
              </w:rPr>
              <w:t>（六）门诊处方合格率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153"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合格的门诊处方人次数</w:t>
            </w:r>
            <w:r>
              <w:rPr>
                <w:rFonts w:ascii="Times New Roman" w:hAnsi="Times New Roman" w:eastAsia="Times New Roman" w:cs="Times New Roman"/>
                <w:color w:val="auto"/>
                <w:spacing w:val="8"/>
                <w:lang w:eastAsia="zh-CN"/>
              </w:rPr>
              <w:t>/</w:t>
            </w:r>
            <w:r>
              <w:rPr>
                <w:color w:val="auto"/>
                <w:spacing w:val="8"/>
                <w:lang w:eastAsia="zh-CN"/>
              </w:rPr>
              <w:t>同期点</w:t>
            </w:r>
            <w:r>
              <w:rPr>
                <w:color w:val="auto"/>
                <w:spacing w:val="6"/>
                <w:lang w:eastAsia="zh-CN"/>
              </w:rPr>
              <w:t>评门诊处方总人次数</w:t>
            </w:r>
            <w:r>
              <w:rPr>
                <w:rFonts w:ascii="Times New Roman" w:hAnsi="Times New Roman" w:eastAsia="Times New Roman" w:cs="Times New Roman"/>
                <w:color w:val="auto"/>
                <w:spacing w:val="6"/>
                <w:lang w:eastAsia="zh-CN"/>
              </w:rPr>
              <w:t>×100%</w:t>
            </w:r>
          </w:p>
        </w:tc>
        <w:tc>
          <w:tcPr>
            <w:tcW w:w="3944" w:type="dxa"/>
          </w:tcPr>
          <w:p>
            <w:pPr>
              <w:pStyle w:val="8"/>
              <w:spacing w:before="0" w:line="240" w:lineRule="exact"/>
              <w:ind w:left="34" w:right="10" w:hanging="10"/>
              <w:rPr>
                <w:color w:val="auto"/>
                <w:lang w:eastAsia="zh-CN"/>
              </w:rPr>
            </w:pPr>
            <w:r>
              <w:rPr>
                <w:color w:val="auto"/>
                <w:spacing w:val="15"/>
                <w:lang w:eastAsia="zh-CN"/>
              </w:rPr>
              <w:t>合格的门诊处方人次数占同期点评门诊处方</w:t>
            </w:r>
            <w:r>
              <w:rPr>
                <w:color w:val="auto"/>
                <w:spacing w:val="6"/>
                <w:lang w:eastAsia="zh-CN"/>
              </w:rPr>
              <w:t>总人次数的比例。</w:t>
            </w:r>
          </w:p>
          <w:p>
            <w:pPr>
              <w:pStyle w:val="8"/>
              <w:spacing w:before="0" w:line="240" w:lineRule="exact"/>
              <w:ind w:left="32" w:right="10" w:hanging="10"/>
              <w:rPr>
                <w:color w:val="auto"/>
                <w:lang w:eastAsia="zh-CN"/>
              </w:rPr>
            </w:pPr>
            <w:r>
              <w:rPr>
                <w:color w:val="auto"/>
                <w:spacing w:val="5"/>
                <w:lang w:eastAsia="zh-CN"/>
              </w:rPr>
              <w:t>说明：不合格处方包括不规范处方、用药不适</w:t>
            </w:r>
            <w:r>
              <w:rPr>
                <w:color w:val="auto"/>
                <w:spacing w:val="6"/>
                <w:lang w:eastAsia="zh-CN"/>
              </w:rPr>
              <w:t>宜处方及超常处方。</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6" w:right="13" w:hanging="11"/>
              <w:rPr>
                <w:color w:val="auto"/>
                <w:lang w:eastAsia="zh-CN"/>
              </w:rPr>
            </w:pPr>
            <w:r>
              <w:rPr>
                <w:color w:val="auto"/>
                <w:spacing w:val="2"/>
                <w:lang w:eastAsia="zh-CN"/>
              </w:rPr>
              <w:t>（七）住院患者药学监</w:t>
            </w:r>
            <w:r>
              <w:rPr>
                <w:color w:val="auto"/>
                <w:lang w:eastAsia="zh-CN"/>
              </w:rPr>
              <w:t>护率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4" w:right="153"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实施药学监护的住院患者数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5"/>
                <w:lang w:eastAsia="zh-CN"/>
              </w:rPr>
              <w:t>期住院患者总数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34" w:right="10" w:hanging="2"/>
              <w:rPr>
                <w:color w:val="auto"/>
                <w:lang w:eastAsia="zh-CN"/>
              </w:rPr>
            </w:pPr>
            <w:r>
              <w:rPr>
                <w:color w:val="auto"/>
                <w:spacing w:val="15"/>
                <w:lang w:eastAsia="zh-CN"/>
              </w:rPr>
              <w:t>实施药学监护的住院患者数占同期住院患者</w:t>
            </w:r>
            <w:r>
              <w:rPr>
                <w:color w:val="auto"/>
                <w:spacing w:val="4"/>
                <w:lang w:eastAsia="zh-CN"/>
              </w:rPr>
              <w:t>总数的比例。</w:t>
            </w:r>
          </w:p>
          <w:p>
            <w:pPr>
              <w:pStyle w:val="8"/>
              <w:spacing w:before="0" w:line="240" w:lineRule="exact"/>
              <w:ind w:left="23" w:hanging="1"/>
              <w:jc w:val="both"/>
              <w:rPr>
                <w:color w:val="auto"/>
                <w:lang w:eastAsia="zh-CN"/>
              </w:rPr>
            </w:pPr>
            <w:r>
              <w:rPr>
                <w:color w:val="auto"/>
                <w:spacing w:val="6"/>
                <w:lang w:eastAsia="zh-CN"/>
              </w:rPr>
              <w:t>说明</w:t>
            </w:r>
            <w:r>
              <w:rPr>
                <w:color w:val="auto"/>
                <w:spacing w:val="-47"/>
                <w:lang w:eastAsia="zh-CN"/>
              </w:rPr>
              <w:t>：（</w:t>
            </w:r>
            <w:r>
              <w:rPr>
                <w:rFonts w:ascii="Times New Roman" w:hAnsi="Times New Roman" w:eastAsia="Times New Roman" w:cs="Times New Roman"/>
                <w:color w:val="auto"/>
                <w:spacing w:val="6"/>
                <w:lang w:eastAsia="zh-CN"/>
              </w:rPr>
              <w:t>1</w:t>
            </w:r>
            <w:r>
              <w:rPr>
                <w:color w:val="auto"/>
                <w:spacing w:val="6"/>
                <w:lang w:eastAsia="zh-CN"/>
              </w:rPr>
              <w:t>）药学监护主要内容包括药学查房、</w:t>
            </w:r>
            <w:r>
              <w:rPr>
                <w:color w:val="auto"/>
                <w:spacing w:val="2"/>
                <w:lang w:eastAsia="zh-CN"/>
              </w:rPr>
              <w:t>制订监护计划、患者用药教育、药学会诊等在</w:t>
            </w:r>
            <w:r>
              <w:rPr>
                <w:color w:val="auto"/>
                <w:spacing w:val="5"/>
                <w:lang w:eastAsia="zh-CN"/>
              </w:rPr>
              <w:t>病历中记录的工作。</w:t>
            </w:r>
          </w:p>
          <w:p>
            <w:pPr>
              <w:pStyle w:val="8"/>
              <w:spacing w:before="0" w:line="240" w:lineRule="exact"/>
              <w:ind w:left="19"/>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）为便于统计，实施药学监护的住院患者</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bl>
    <w:p>
      <w:pPr>
        <w:autoSpaceDE/>
        <w:autoSpaceDN/>
        <w:spacing w:line="20" w:lineRule="exact"/>
        <w:rPr>
          <w:color w:val="auto"/>
        </w:rPr>
      </w:pPr>
    </w:p>
    <w:p>
      <w:pPr>
        <w:autoSpaceDE/>
        <w:autoSpaceDN/>
        <w:spacing w:line="20" w:lineRule="exact"/>
        <w:rPr>
          <w:color w:val="auto"/>
        </w:rPr>
        <w:sectPr>
          <w:footerReference r:id="rId39"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4" w:type="dxa"/>
          </w:tcPr>
          <w:p>
            <w:pPr>
              <w:pStyle w:val="8"/>
              <w:spacing w:before="0" w:line="240" w:lineRule="exact"/>
              <w:ind w:left="27" w:right="10"/>
              <w:rPr>
                <w:color w:val="auto"/>
                <w:lang w:eastAsia="zh-CN"/>
              </w:rPr>
            </w:pPr>
            <w:r>
              <w:rPr>
                <w:color w:val="auto"/>
                <w:spacing w:val="15"/>
                <w:lang w:eastAsia="zh-CN"/>
              </w:rPr>
              <w:t>数和同期住院患者总数均以出院患者的人数</w:t>
            </w:r>
            <w:r>
              <w:rPr>
                <w:color w:val="auto"/>
                <w:spacing w:val="1"/>
                <w:lang w:eastAsia="zh-CN"/>
              </w:rPr>
              <w:t>计算。</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6" w:hRule="atLeast"/>
        </w:trPr>
        <w:tc>
          <w:tcPr>
            <w:tcW w:w="1269" w:type="dxa"/>
            <w:vMerge w:val="continue"/>
            <w:tcBorders>
              <w:top w:val="nil"/>
              <w:bottom w:val="nil"/>
            </w:tcBorders>
          </w:tcPr>
          <w:p>
            <w:pPr>
              <w:spacing w:line="240" w:lineRule="exact"/>
              <w:rPr>
                <w:color w:val="auto"/>
                <w:lang w:eastAsia="zh-CN"/>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Pr>
                <w:color w:val="auto"/>
                <w:lang w:eastAsia="zh-CN"/>
              </w:rPr>
            </w:pPr>
            <w:r>
              <w:rPr>
                <w:color w:val="auto"/>
                <w:spacing w:val="2"/>
                <w:lang w:eastAsia="zh-CN"/>
              </w:rPr>
              <w:t>（八）用药错误报告率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9" w:right="67" w:hanging="1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报告给医疗机构管理部门的用</w:t>
            </w:r>
            <w:r>
              <w:rPr>
                <w:color w:val="auto"/>
                <w:spacing w:val="8"/>
                <w:lang w:eastAsia="zh-CN"/>
              </w:rPr>
              <w:t>药错误人次数</w:t>
            </w:r>
            <w:r>
              <w:rPr>
                <w:rFonts w:ascii="Times New Roman" w:hAnsi="Times New Roman" w:eastAsia="Times New Roman" w:cs="Times New Roman"/>
                <w:color w:val="auto"/>
                <w:spacing w:val="8"/>
                <w:lang w:eastAsia="zh-CN"/>
              </w:rPr>
              <w:t>/</w:t>
            </w:r>
            <w:r>
              <w:rPr>
                <w:color w:val="auto"/>
                <w:spacing w:val="8"/>
                <w:lang w:eastAsia="zh-CN"/>
              </w:rPr>
              <w:t>同期用药患者总数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24" w:right="10" w:firstLine="20"/>
              <w:jc w:val="both"/>
              <w:rPr>
                <w:color w:val="auto"/>
                <w:lang w:eastAsia="zh-CN"/>
              </w:rPr>
            </w:pPr>
            <w:r>
              <w:rPr>
                <w:color w:val="auto"/>
                <w:spacing w:val="14"/>
                <w:lang w:eastAsia="zh-CN"/>
              </w:rPr>
              <w:t>医疗机构某一时间范围内报告给医疗机构管</w:t>
            </w:r>
            <w:r>
              <w:rPr>
                <w:color w:val="auto"/>
                <w:spacing w:val="15"/>
                <w:lang w:eastAsia="zh-CN"/>
              </w:rPr>
              <w:t>理部门的用药错误人次数占同期用药患者总</w:t>
            </w:r>
            <w:r>
              <w:rPr>
                <w:color w:val="auto"/>
                <w:spacing w:val="5"/>
                <w:lang w:eastAsia="zh-CN"/>
              </w:rPr>
              <w:t>数的比例。</w:t>
            </w:r>
          </w:p>
          <w:p>
            <w:pPr>
              <w:pStyle w:val="8"/>
              <w:spacing w:before="0" w:line="240" w:lineRule="exact"/>
              <w:ind w:left="22" w:right="10"/>
              <w:jc w:val="both"/>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）用药错误是指药品在临床使用及</w:t>
            </w:r>
            <w:r>
              <w:rPr>
                <w:color w:val="auto"/>
                <w:spacing w:val="5"/>
                <w:lang w:eastAsia="zh-CN"/>
              </w:rPr>
              <w:t>管理全过程中出现的、任何可以预防的用药疏失，这些疏失可以导致患者发生潜在的或直接的损害。根据发生用药错误后果的严重程度将</w:t>
            </w:r>
            <w:r>
              <w:rPr>
                <w:color w:val="auto"/>
                <w:spacing w:val="4"/>
                <w:lang w:eastAsia="zh-CN"/>
              </w:rPr>
              <w:t>用药错误分为</w:t>
            </w:r>
            <w:r>
              <w:rPr>
                <w:rFonts w:ascii="Times New Roman" w:hAnsi="Times New Roman" w:eastAsia="Times New Roman" w:cs="Times New Roman"/>
                <w:color w:val="auto"/>
                <w:spacing w:val="4"/>
                <w:lang w:eastAsia="zh-CN"/>
              </w:rPr>
              <w:t>9</w:t>
            </w:r>
            <w:r>
              <w:rPr>
                <w:color w:val="auto"/>
                <w:spacing w:val="4"/>
                <w:lang w:eastAsia="zh-CN"/>
              </w:rPr>
              <w:t>级：</w:t>
            </w:r>
          </w:p>
          <w:p>
            <w:pPr>
              <w:pStyle w:val="8"/>
              <w:spacing w:before="0" w:line="240" w:lineRule="exact"/>
              <w:ind w:left="33" w:right="10" w:hanging="17"/>
              <w:rPr>
                <w:color w:val="auto"/>
                <w:lang w:eastAsia="zh-CN"/>
              </w:rPr>
            </w:pPr>
            <w:r>
              <w:rPr>
                <w:rFonts w:ascii="Times New Roman" w:hAnsi="Times New Roman" w:eastAsia="Times New Roman" w:cs="Times New Roman"/>
                <w:color w:val="auto"/>
                <w:spacing w:val="5"/>
                <w:lang w:eastAsia="zh-CN"/>
              </w:rPr>
              <w:t>A</w:t>
            </w:r>
            <w:r>
              <w:rPr>
                <w:color w:val="auto"/>
                <w:spacing w:val="5"/>
                <w:lang w:eastAsia="zh-CN"/>
              </w:rPr>
              <w:t>级：客观环境或条件可能引发错误（错误隐</w:t>
            </w:r>
            <w:r>
              <w:rPr>
                <w:color w:val="auto"/>
                <w:spacing w:val="-4"/>
                <w:lang w:eastAsia="zh-CN"/>
              </w:rPr>
              <w:t>患）。</w:t>
            </w:r>
          </w:p>
          <w:p>
            <w:pPr>
              <w:pStyle w:val="8"/>
              <w:spacing w:before="0" w:line="240" w:lineRule="exact"/>
              <w:ind w:left="20" w:right="10" w:hanging="3"/>
              <w:rPr>
                <w:color w:val="auto"/>
                <w:lang w:eastAsia="zh-CN"/>
              </w:rPr>
            </w:pPr>
            <w:r>
              <w:rPr>
                <w:rFonts w:ascii="Times New Roman" w:hAnsi="Times New Roman" w:eastAsia="Times New Roman" w:cs="Times New Roman"/>
                <w:color w:val="auto"/>
                <w:spacing w:val="5"/>
                <w:lang w:eastAsia="zh-CN"/>
              </w:rPr>
              <w:t>B</w:t>
            </w:r>
            <w:r>
              <w:rPr>
                <w:color w:val="auto"/>
                <w:spacing w:val="5"/>
                <w:lang w:eastAsia="zh-CN"/>
              </w:rPr>
              <w:t>级：发生错误但未发给患者，或已发给患者</w:t>
            </w:r>
            <w:r>
              <w:rPr>
                <w:color w:val="auto"/>
                <w:spacing w:val="7"/>
                <w:lang w:eastAsia="zh-CN"/>
              </w:rPr>
              <w:t>但患者未使用。</w:t>
            </w:r>
          </w:p>
          <w:p>
            <w:pPr>
              <w:pStyle w:val="8"/>
              <w:spacing w:before="0" w:line="240" w:lineRule="exact"/>
              <w:ind w:left="21"/>
              <w:rPr>
                <w:color w:val="auto"/>
                <w:lang w:eastAsia="zh-CN"/>
              </w:rPr>
            </w:pPr>
            <w:r>
              <w:rPr>
                <w:rFonts w:ascii="Times New Roman" w:hAnsi="Times New Roman" w:eastAsia="Times New Roman" w:cs="Times New Roman"/>
                <w:color w:val="auto"/>
                <w:spacing w:val="7"/>
                <w:lang w:eastAsia="zh-CN"/>
              </w:rPr>
              <w:t>C</w:t>
            </w:r>
            <w:r>
              <w:rPr>
                <w:color w:val="auto"/>
                <w:spacing w:val="7"/>
                <w:lang w:eastAsia="zh-CN"/>
              </w:rPr>
              <w:t>级：患者已使用，但未造成伤害。</w:t>
            </w:r>
          </w:p>
          <w:p>
            <w:pPr>
              <w:pStyle w:val="8"/>
              <w:spacing w:before="0" w:line="240" w:lineRule="exact"/>
              <w:ind w:left="19" w:right="10" w:hanging="2"/>
              <w:jc w:val="both"/>
              <w:rPr>
                <w:color w:val="auto"/>
                <w:lang w:eastAsia="zh-CN"/>
              </w:rPr>
            </w:pPr>
            <w:r>
              <w:rPr>
                <w:rFonts w:ascii="Times New Roman" w:hAnsi="Times New Roman" w:eastAsia="Times New Roman" w:cs="Times New Roman"/>
                <w:color w:val="auto"/>
                <w:spacing w:val="4"/>
                <w:lang w:eastAsia="zh-CN"/>
              </w:rPr>
              <w:t>D</w:t>
            </w:r>
            <w:r>
              <w:rPr>
                <w:color w:val="auto"/>
                <w:spacing w:val="4"/>
                <w:lang w:eastAsia="zh-CN"/>
              </w:rPr>
              <w:t>级：患者已使用，需要监测错误对患者的后</w:t>
            </w:r>
            <w:r>
              <w:rPr>
                <w:color w:val="auto"/>
                <w:spacing w:val="5"/>
                <w:lang w:eastAsia="zh-CN"/>
              </w:rPr>
              <w:t>果，并根据后果判断是否需要采取措施预防和</w:t>
            </w:r>
            <w:r>
              <w:rPr>
                <w:color w:val="auto"/>
                <w:spacing w:val="6"/>
                <w:lang w:eastAsia="zh-CN"/>
              </w:rPr>
              <w:t>减少伤害。</w:t>
            </w:r>
          </w:p>
          <w:p>
            <w:pPr>
              <w:pStyle w:val="8"/>
              <w:spacing w:before="0" w:line="240" w:lineRule="exact"/>
              <w:ind w:left="27" w:right="12" w:hanging="9"/>
              <w:rPr>
                <w:color w:val="auto"/>
                <w:lang w:eastAsia="zh-CN"/>
              </w:rPr>
            </w:pPr>
            <w:r>
              <w:rPr>
                <w:rFonts w:ascii="Times New Roman" w:hAnsi="Times New Roman" w:eastAsia="Times New Roman" w:cs="Times New Roman"/>
                <w:color w:val="auto"/>
                <w:spacing w:val="5"/>
                <w:lang w:eastAsia="zh-CN"/>
              </w:rPr>
              <w:t>E</w:t>
            </w:r>
            <w:r>
              <w:rPr>
                <w:color w:val="auto"/>
                <w:spacing w:val="5"/>
                <w:lang w:eastAsia="zh-CN"/>
              </w:rPr>
              <w:t>级：错误造成患者暂时性伤害，需要采取处</w:t>
            </w:r>
            <w:r>
              <w:rPr>
                <w:color w:val="auto"/>
                <w:spacing w:val="3"/>
                <w:lang w:eastAsia="zh-CN"/>
              </w:rPr>
              <w:t>置措施。</w:t>
            </w:r>
          </w:p>
          <w:p>
            <w:pPr>
              <w:pStyle w:val="8"/>
              <w:spacing w:before="0" w:line="240" w:lineRule="exact"/>
              <w:ind w:left="23" w:right="10" w:hanging="6"/>
              <w:rPr>
                <w:color w:val="auto"/>
                <w:lang w:eastAsia="zh-CN"/>
              </w:rPr>
            </w:pPr>
            <w:r>
              <w:rPr>
                <w:rFonts w:ascii="Times New Roman" w:hAnsi="Times New Roman" w:eastAsia="Times New Roman" w:cs="Times New Roman"/>
                <w:color w:val="auto"/>
                <w:spacing w:val="6"/>
                <w:lang w:eastAsia="zh-CN"/>
              </w:rPr>
              <w:t>F</w:t>
            </w:r>
            <w:r>
              <w:rPr>
                <w:color w:val="auto"/>
                <w:spacing w:val="6"/>
                <w:lang w:eastAsia="zh-CN"/>
              </w:rPr>
              <w:t>级：错误对患者的伤害可导致患者住院或延</w:t>
            </w:r>
            <w:r>
              <w:rPr>
                <w:color w:val="auto"/>
                <w:spacing w:val="7"/>
                <w:lang w:eastAsia="zh-CN"/>
              </w:rPr>
              <w:t>长患者住院时间。</w:t>
            </w:r>
          </w:p>
          <w:p>
            <w:pPr>
              <w:pStyle w:val="8"/>
              <w:spacing w:before="0" w:line="240" w:lineRule="exact"/>
              <w:ind w:left="21"/>
              <w:rPr>
                <w:color w:val="auto"/>
                <w:lang w:eastAsia="zh-CN"/>
              </w:rPr>
            </w:pPr>
            <w:r>
              <w:rPr>
                <w:rFonts w:ascii="Times New Roman" w:hAnsi="Times New Roman" w:eastAsia="Times New Roman" w:cs="Times New Roman"/>
                <w:color w:val="auto"/>
                <w:spacing w:val="7"/>
                <w:lang w:eastAsia="zh-CN"/>
              </w:rPr>
              <w:t>G</w:t>
            </w:r>
            <w:r>
              <w:rPr>
                <w:color w:val="auto"/>
                <w:spacing w:val="7"/>
                <w:lang w:eastAsia="zh-CN"/>
              </w:rPr>
              <w:t>级：错误导致患者永久性伤害。</w:t>
            </w:r>
          </w:p>
          <w:p>
            <w:pPr>
              <w:pStyle w:val="8"/>
              <w:spacing w:before="0" w:line="240" w:lineRule="exact"/>
              <w:ind w:left="16" w:right="10" w:firstLine="1"/>
              <w:rPr>
                <w:color w:val="auto"/>
                <w:lang w:eastAsia="zh-CN"/>
              </w:rPr>
            </w:pPr>
            <w:r>
              <w:rPr>
                <w:rFonts w:ascii="Times New Roman" w:hAnsi="Times New Roman" w:eastAsia="Times New Roman" w:cs="Times New Roman"/>
                <w:color w:val="auto"/>
                <w:spacing w:val="4"/>
                <w:lang w:eastAsia="zh-CN"/>
              </w:rPr>
              <w:t>H</w:t>
            </w:r>
            <w:r>
              <w:rPr>
                <w:color w:val="auto"/>
                <w:spacing w:val="4"/>
                <w:lang w:eastAsia="zh-CN"/>
              </w:rPr>
              <w:t>级：错误导致患者生命垂危，须采取维持生</w:t>
            </w:r>
            <w:r>
              <w:rPr>
                <w:color w:val="auto"/>
                <w:spacing w:val="8"/>
                <w:lang w:eastAsia="zh-CN"/>
              </w:rPr>
              <w:t>命的措施（如心肺复苏，除颤、插管等）。</w:t>
            </w:r>
          </w:p>
          <w:p>
            <w:pPr>
              <w:pStyle w:val="8"/>
              <w:spacing w:before="0" w:line="240" w:lineRule="exact"/>
              <w:ind w:left="19"/>
              <w:rPr>
                <w:color w:val="auto"/>
                <w:lang w:eastAsia="zh-CN"/>
              </w:rPr>
            </w:pPr>
            <w:r>
              <w:rPr>
                <w:rFonts w:ascii="Times New Roman" w:hAnsi="Times New Roman" w:eastAsia="Times New Roman" w:cs="Times New Roman"/>
                <w:color w:val="auto"/>
                <w:spacing w:val="6"/>
                <w:lang w:eastAsia="zh-CN"/>
              </w:rPr>
              <w:t>I</w:t>
            </w:r>
            <w:r>
              <w:rPr>
                <w:color w:val="auto"/>
                <w:spacing w:val="6"/>
                <w:lang w:eastAsia="zh-CN"/>
              </w:rPr>
              <w:t>级：错误导致患者死亡。</w:t>
            </w:r>
          </w:p>
          <w:p>
            <w:pPr>
              <w:pStyle w:val="8"/>
              <w:spacing w:before="0" w:line="240" w:lineRule="exact"/>
              <w:ind w:left="39" w:right="53" w:hanging="20"/>
              <w:rPr>
                <w:color w:val="auto"/>
                <w:lang w:eastAsia="zh-CN"/>
              </w:rPr>
            </w:pPr>
            <w:r>
              <w:rPr>
                <w:color w:val="auto"/>
                <w:spacing w:val="6"/>
                <w:lang w:eastAsia="zh-CN"/>
              </w:rPr>
              <w:t>（</w:t>
            </w:r>
            <w:r>
              <w:rPr>
                <w:rFonts w:ascii="Times New Roman" w:hAnsi="Times New Roman" w:eastAsia="Times New Roman" w:cs="Times New Roman"/>
                <w:color w:val="auto"/>
                <w:spacing w:val="6"/>
                <w:lang w:eastAsia="zh-CN"/>
              </w:rPr>
              <w:t>2</w:t>
            </w:r>
            <w:r>
              <w:rPr>
                <w:color w:val="auto"/>
                <w:spacing w:val="6"/>
                <w:lang w:eastAsia="zh-CN"/>
              </w:rPr>
              <w:t>）同期用药患者总数指单位时间内门诊、</w:t>
            </w:r>
            <w:r>
              <w:rPr>
                <w:color w:val="auto"/>
                <w:spacing w:val="7"/>
                <w:lang w:eastAsia="zh-CN"/>
              </w:rPr>
              <w:t>急诊和住院患者用药人数总和。</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63"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22" w:right="13" w:hanging="7"/>
              <w:rPr>
                <w:color w:val="auto"/>
                <w:lang w:eastAsia="zh-CN"/>
              </w:rPr>
            </w:pPr>
            <w:r>
              <w:rPr>
                <w:color w:val="auto"/>
                <w:spacing w:val="2"/>
                <w:lang w:eastAsia="zh-CN"/>
              </w:rPr>
              <w:t>（九）严重或新的药品</w:t>
            </w:r>
            <w:r>
              <w:rPr>
                <w:color w:val="auto"/>
                <w:spacing w:val="8"/>
                <w:lang w:eastAsia="zh-CN"/>
              </w:rPr>
              <w:t>不良反应上报率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2" w:right="211"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严重或新的药品不良反应上报</w:t>
            </w:r>
            <w:r>
              <w:rPr>
                <w:color w:val="auto"/>
                <w:spacing w:val="6"/>
                <w:lang w:eastAsia="zh-CN"/>
              </w:rPr>
              <w:t>人数</w:t>
            </w:r>
            <w:r>
              <w:rPr>
                <w:rFonts w:ascii="Times New Roman" w:hAnsi="Times New Roman" w:eastAsia="Times New Roman" w:cs="Times New Roman"/>
                <w:color w:val="auto"/>
                <w:spacing w:val="6"/>
                <w:lang w:eastAsia="zh-CN"/>
              </w:rPr>
              <w:t>/</w:t>
            </w:r>
            <w:r>
              <w:rPr>
                <w:color w:val="auto"/>
                <w:spacing w:val="6"/>
                <w:lang w:eastAsia="zh-CN"/>
              </w:rPr>
              <w:t>同期用药患者总数</w:t>
            </w:r>
            <w:r>
              <w:rPr>
                <w:rFonts w:ascii="Times New Roman" w:hAnsi="Times New Roman" w:eastAsia="Times New Roman" w:cs="Times New Roman"/>
                <w:color w:val="auto"/>
                <w:spacing w:val="6"/>
                <w:lang w:eastAsia="zh-CN"/>
              </w:rPr>
              <w:t>×100%</w:t>
            </w:r>
          </w:p>
        </w:tc>
        <w:tc>
          <w:tcPr>
            <w:tcW w:w="3944" w:type="dxa"/>
          </w:tcPr>
          <w:p>
            <w:pPr>
              <w:pStyle w:val="8"/>
              <w:spacing w:before="0" w:line="240" w:lineRule="exact"/>
              <w:ind w:left="26" w:right="10" w:firstLine="19"/>
              <w:rPr>
                <w:color w:val="auto"/>
                <w:lang w:eastAsia="zh-CN"/>
              </w:rPr>
            </w:pPr>
            <w:r>
              <w:rPr>
                <w:color w:val="auto"/>
                <w:spacing w:val="14"/>
                <w:lang w:eastAsia="zh-CN"/>
              </w:rPr>
              <w:t>医疗机构单位时间内上报的严重或新的药品</w:t>
            </w:r>
            <w:r>
              <w:rPr>
                <w:color w:val="auto"/>
                <w:spacing w:val="8"/>
                <w:lang w:eastAsia="zh-CN"/>
              </w:rPr>
              <w:t>不良反应人数占同期用药患者总数的比例。</w:t>
            </w:r>
          </w:p>
          <w:p>
            <w:pPr>
              <w:pStyle w:val="8"/>
              <w:spacing w:before="0" w:line="240" w:lineRule="exact"/>
              <w:ind w:left="32" w:right="12" w:hanging="10"/>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）严重药品不良反应：是指因使用</w:t>
            </w:r>
            <w:r>
              <w:rPr>
                <w:color w:val="auto"/>
                <w:spacing w:val="8"/>
                <w:lang w:eastAsia="zh-CN"/>
              </w:rPr>
              <w:t>药品引起以下损害情形之一的反应：</w:t>
            </w:r>
          </w:p>
          <w:p>
            <w:pPr>
              <w:pStyle w:val="8"/>
              <w:spacing w:before="0" w:line="240" w:lineRule="exact"/>
              <w:ind w:left="21"/>
              <w:rPr>
                <w:color w:val="auto"/>
                <w:lang w:eastAsia="zh-CN"/>
              </w:rPr>
            </w:pPr>
            <w:r>
              <w:rPr>
                <w:rFonts w:ascii="宋体" w:hAnsi="宋体" w:eastAsia="宋体" w:cs="宋体"/>
                <w:color w:val="auto"/>
                <w:spacing w:val="6"/>
                <w:lang w:eastAsia="zh-CN"/>
              </w:rPr>
              <w:t>①</w:t>
            </w:r>
            <w:r>
              <w:rPr>
                <w:color w:val="auto"/>
                <w:spacing w:val="6"/>
                <w:lang w:eastAsia="zh-CN"/>
              </w:rPr>
              <w:t>导致死亡。</w:t>
            </w:r>
          </w:p>
          <w:p>
            <w:pPr>
              <w:pStyle w:val="8"/>
              <w:spacing w:before="0" w:line="240" w:lineRule="exact"/>
              <w:ind w:left="20"/>
              <w:rPr>
                <w:color w:val="auto"/>
                <w:lang w:eastAsia="zh-CN"/>
              </w:rPr>
            </w:pPr>
            <w:r>
              <w:rPr>
                <w:rFonts w:ascii="宋体" w:hAnsi="宋体" w:eastAsia="宋体" w:cs="宋体"/>
                <w:color w:val="auto"/>
                <w:spacing w:val="7"/>
                <w:lang w:eastAsia="zh-CN"/>
              </w:rPr>
              <w:t>②</w:t>
            </w:r>
            <w:r>
              <w:rPr>
                <w:color w:val="auto"/>
                <w:spacing w:val="7"/>
                <w:lang w:eastAsia="zh-CN"/>
              </w:rPr>
              <w:t>危及生命。</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bl>
    <w:p>
      <w:pPr>
        <w:autoSpaceDE/>
        <w:autoSpaceDN/>
        <w:spacing w:line="20" w:lineRule="exact"/>
        <w:rPr>
          <w:color w:val="auto"/>
          <w:sz w:val="7"/>
        </w:rPr>
      </w:pPr>
    </w:p>
    <w:p>
      <w:pPr>
        <w:autoSpaceDE/>
        <w:autoSpaceDN/>
        <w:spacing w:line="20" w:lineRule="exact"/>
        <w:rPr>
          <w:color w:val="auto"/>
          <w:sz w:val="7"/>
          <w:szCs w:val="7"/>
        </w:rPr>
        <w:sectPr>
          <w:footerReference r:id="rId40" w:type="default"/>
          <w:pgSz w:w="16839" w:h="11906"/>
          <w:pgMar w:top="1012" w:right="1262" w:bottom="1439" w:left="1511" w:header="0" w:footer="1277" w:gutter="0"/>
          <w:pgNumType w:fmt="numberInDash"/>
          <w:cols w:space="720" w:num="1"/>
        </w:sectPr>
      </w:pPr>
    </w:p>
    <w:p>
      <w:pPr>
        <w:spacing w:before="0" w:line="240" w:lineRule="exact"/>
        <w:rPr>
          <w:color w:val="auto"/>
        </w:rPr>
      </w:pPr>
      <w:r>
        <w:rPr>
          <w:color w:val="auto"/>
        </w:rPr>
        <w:pict>
          <v:shape id="_x0000_s1026" o:spid="_x0000_s1026" o:spt="202" type="#_x0000_t202" style="position:absolute;left:0pt;margin-left:425.35pt;margin-top:496.75pt;height:15.1pt;width:4.8pt;mso-position-horizontal-relative:page;mso-position-vertical-relative:page;z-index:-251657216;mso-width-relative:page;mso-height-relative:page;" filled="f" stroked="f" coordsize="21600,21600" o:allowincell="f">
            <v:path/>
            <v:fill on="f" focussize="0,0"/>
            <v:stroke on="f" joinstyle="miter"/>
            <v:imagedata o:title=""/>
            <o:lock v:ext="edit"/>
            <v:textbox inset="0mm,0mm,0mm,0mm">
              <w:txbxContent>
                <w:p>
                  <w:pPr>
                    <w:spacing w:before="20" w:line="261" w:lineRule="exact"/>
                    <w:ind w:left="20"/>
                    <w:rPr>
                      <w:rFonts w:ascii="Times New Roman" w:hAnsi="Times New Roman" w:eastAsia="Times New Roman" w:cs="Times New Roman"/>
                      <w:sz w:val="19"/>
                      <w:szCs w:val="19"/>
                    </w:rPr>
                  </w:pPr>
                  <w:r>
                    <w:rPr>
                      <w:rFonts w:ascii="Times New Roman" w:hAnsi="Times New Roman" w:eastAsia="Times New Roman" w:cs="Times New Roman"/>
                      <w:spacing w:val="2"/>
                      <w:position w:val="1"/>
                      <w:sz w:val="19"/>
                      <w:szCs w:val="19"/>
                    </w:rPr>
                    <w:t>/</w:t>
                  </w:r>
                </w:p>
              </w:txbxContent>
            </v:textbox>
          </v:shape>
        </w:pict>
      </w: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8" w:hRule="atLeast"/>
        </w:trPr>
        <w:tc>
          <w:tcPr>
            <w:tcW w:w="1269" w:type="dxa"/>
            <w:vMerge w:val="restart"/>
            <w:tcBorders>
              <w:bottom w:val="nil"/>
            </w:tcBorders>
          </w:tcPr>
          <w:p>
            <w:pPr>
              <w:spacing w:line="240" w:lineRule="exact"/>
              <w:rPr>
                <w:color w:val="auto"/>
              </w:rPr>
            </w:pPr>
          </w:p>
        </w:tc>
        <w:tc>
          <w:tcPr>
            <w:tcW w:w="1957" w:type="dxa"/>
            <w:gridSpan w:val="2"/>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3" w:type="dxa"/>
          </w:tcPr>
          <w:p>
            <w:pPr>
              <w:pStyle w:val="8"/>
              <w:spacing w:before="0" w:line="240" w:lineRule="exact"/>
              <w:ind w:left="19"/>
              <w:rPr>
                <w:color w:val="auto"/>
              </w:rPr>
            </w:pPr>
            <w:r>
              <w:rPr>
                <w:rFonts w:ascii="宋体" w:hAnsi="宋体" w:eastAsia="宋体" w:cs="宋体"/>
                <w:color w:val="auto"/>
                <w:spacing w:val="8"/>
              </w:rPr>
              <w:t>③</w:t>
            </w:r>
            <w:r>
              <w:rPr>
                <w:color w:val="auto"/>
                <w:spacing w:val="8"/>
              </w:rPr>
              <w:t>致癌、致畸、致出生缺陷。</w:t>
            </w:r>
          </w:p>
          <w:p>
            <w:pPr>
              <w:pStyle w:val="8"/>
              <w:spacing w:before="0" w:line="240" w:lineRule="exact"/>
              <w:ind w:left="25" w:right="12" w:hanging="6"/>
              <w:rPr>
                <w:color w:val="auto"/>
                <w:lang w:eastAsia="zh-CN"/>
              </w:rPr>
            </w:pPr>
            <w:r>
              <w:rPr>
                <w:rFonts w:ascii="宋体" w:hAnsi="宋体" w:eastAsia="宋体" w:cs="宋体"/>
                <w:color w:val="auto"/>
                <w:spacing w:val="15"/>
                <w:lang w:eastAsia="zh-CN"/>
              </w:rPr>
              <w:t>④</w:t>
            </w:r>
            <w:r>
              <w:rPr>
                <w:color w:val="auto"/>
                <w:spacing w:val="15"/>
                <w:lang w:eastAsia="zh-CN"/>
              </w:rPr>
              <w:t>导致显著的或者永久的人体伤残或者器官</w:t>
            </w:r>
            <w:r>
              <w:rPr>
                <w:color w:val="auto"/>
                <w:spacing w:val="5"/>
                <w:lang w:eastAsia="zh-CN"/>
              </w:rPr>
              <w:t>功能的损伤。</w:t>
            </w:r>
          </w:p>
          <w:p>
            <w:pPr>
              <w:pStyle w:val="8"/>
              <w:spacing w:before="0" w:line="240" w:lineRule="exact"/>
              <w:ind w:left="19"/>
              <w:rPr>
                <w:color w:val="auto"/>
                <w:lang w:eastAsia="zh-CN"/>
              </w:rPr>
            </w:pPr>
            <w:r>
              <w:rPr>
                <w:rFonts w:ascii="宋体" w:hAnsi="宋体" w:eastAsia="宋体" w:cs="宋体"/>
                <w:color w:val="auto"/>
                <w:spacing w:val="8"/>
                <w:lang w:eastAsia="zh-CN"/>
              </w:rPr>
              <w:t>⑤</w:t>
            </w:r>
            <w:r>
              <w:rPr>
                <w:color w:val="auto"/>
                <w:spacing w:val="8"/>
                <w:lang w:eastAsia="zh-CN"/>
              </w:rPr>
              <w:t>导致住院或者住院时间延长。</w:t>
            </w:r>
          </w:p>
          <w:p>
            <w:pPr>
              <w:pStyle w:val="8"/>
              <w:spacing w:before="0" w:line="240" w:lineRule="exact"/>
              <w:ind w:left="46" w:right="12" w:hanging="27"/>
              <w:rPr>
                <w:color w:val="auto"/>
                <w:lang w:eastAsia="zh-CN"/>
              </w:rPr>
            </w:pPr>
            <w:r>
              <w:rPr>
                <w:rFonts w:ascii="宋体" w:hAnsi="宋体" w:eastAsia="宋体" w:cs="宋体"/>
                <w:color w:val="auto"/>
                <w:spacing w:val="5"/>
                <w:lang w:eastAsia="zh-CN"/>
              </w:rPr>
              <w:t>⑥</w:t>
            </w:r>
            <w:r>
              <w:rPr>
                <w:color w:val="auto"/>
                <w:spacing w:val="5"/>
                <w:lang w:eastAsia="zh-CN"/>
              </w:rPr>
              <w:t>导致其他重要医学事件，如不进行治疗可能出现上述所列情况的。</w:t>
            </w:r>
          </w:p>
          <w:p>
            <w:pPr>
              <w:pStyle w:val="8"/>
              <w:spacing w:before="0" w:line="240" w:lineRule="exact"/>
              <w:ind w:left="21" w:right="10" w:hanging="3"/>
              <w:jc w:val="both"/>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）新的药品不良反应：是指药品说明书中</w:t>
            </w:r>
            <w:r>
              <w:rPr>
                <w:color w:val="auto"/>
                <w:spacing w:val="5"/>
                <w:lang w:eastAsia="zh-CN"/>
              </w:rPr>
              <w:t>未载明的不良反应。说明书中已有描述，但不良反应发生的性质、程度、后果或者频率与说明书描述不一致或者更严重的，按新的药品不</w:t>
            </w:r>
            <w:r>
              <w:rPr>
                <w:color w:val="auto"/>
                <w:spacing w:val="6"/>
                <w:lang w:eastAsia="zh-CN"/>
              </w:rPr>
              <w:t>良反应处理。</w:t>
            </w:r>
          </w:p>
          <w:p>
            <w:pPr>
              <w:pStyle w:val="8"/>
              <w:spacing w:before="0" w:line="240" w:lineRule="exact"/>
              <w:ind w:left="38" w:right="53" w:hanging="20"/>
              <w:rPr>
                <w:color w:val="auto"/>
                <w:lang w:eastAsia="zh-CN"/>
              </w:rPr>
            </w:pPr>
            <w:r>
              <w:rPr>
                <w:color w:val="auto"/>
                <w:spacing w:val="6"/>
                <w:lang w:eastAsia="zh-CN"/>
              </w:rPr>
              <w:t>（</w:t>
            </w:r>
            <w:r>
              <w:rPr>
                <w:rFonts w:ascii="Times New Roman" w:hAnsi="Times New Roman" w:eastAsia="Times New Roman" w:cs="Times New Roman"/>
                <w:color w:val="auto"/>
                <w:spacing w:val="6"/>
                <w:lang w:eastAsia="zh-CN"/>
              </w:rPr>
              <w:t>3</w:t>
            </w:r>
            <w:r>
              <w:rPr>
                <w:color w:val="auto"/>
                <w:spacing w:val="6"/>
                <w:lang w:eastAsia="zh-CN"/>
              </w:rPr>
              <w:t>）同期用药患者总数指单位时间内门诊、</w:t>
            </w:r>
            <w:r>
              <w:rPr>
                <w:color w:val="auto"/>
                <w:spacing w:val="7"/>
                <w:lang w:eastAsia="zh-CN"/>
              </w:rPr>
              <w:t>急诊和住院患者用药人数总和。</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lang w:eastAsia="zh-CN"/>
              </w:rPr>
            </w:pPr>
          </w:p>
        </w:tc>
        <w:tc>
          <w:tcPr>
            <w:tcW w:w="1957" w:type="dxa"/>
            <w:gridSpan w:val="2"/>
          </w:tcPr>
          <w:p>
            <w:pPr>
              <w:pStyle w:val="8"/>
              <w:spacing w:before="0" w:line="240" w:lineRule="exact"/>
              <w:ind w:left="24" w:right="14" w:hanging="9"/>
              <w:rPr>
                <w:color w:val="auto"/>
                <w:lang w:eastAsia="zh-CN"/>
              </w:rPr>
            </w:pPr>
            <w:r>
              <w:rPr>
                <w:color w:val="auto"/>
                <w:spacing w:val="2"/>
                <w:lang w:eastAsia="zh-CN"/>
              </w:rPr>
              <w:t>（十）住院患者抗菌药</w:t>
            </w:r>
            <w:r>
              <w:rPr>
                <w:color w:val="auto"/>
                <w:spacing w:val="6"/>
                <w:lang w:eastAsia="zh-CN"/>
              </w:rPr>
              <w:t>物使用率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44"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住院患者使用抗菌药物人数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6"/>
                <w:lang w:eastAsia="zh-CN"/>
              </w:rPr>
              <w:t>期医疗机构住院患者总数</w:t>
            </w:r>
            <w:r>
              <w:rPr>
                <w:rFonts w:ascii="Times New Roman" w:hAnsi="Times New Roman" w:eastAsia="Times New Roman" w:cs="Times New Roman"/>
                <w:color w:val="auto"/>
                <w:spacing w:val="6"/>
                <w:lang w:eastAsia="zh-CN"/>
              </w:rPr>
              <w:t>×100%</w:t>
            </w:r>
          </w:p>
        </w:tc>
        <w:tc>
          <w:tcPr>
            <w:tcW w:w="3943" w:type="dxa"/>
          </w:tcPr>
          <w:p>
            <w:pPr>
              <w:pStyle w:val="8"/>
              <w:spacing w:before="0" w:line="240" w:lineRule="exact"/>
              <w:ind w:left="25" w:right="10"/>
              <w:rPr>
                <w:color w:val="auto"/>
                <w:lang w:eastAsia="zh-CN"/>
              </w:rPr>
            </w:pPr>
            <w:r>
              <w:rPr>
                <w:color w:val="auto"/>
                <w:spacing w:val="15"/>
                <w:lang w:eastAsia="zh-CN"/>
              </w:rPr>
              <w:t>住院患者使用抗菌药物人数占同期医疗机构</w:t>
            </w:r>
            <w:r>
              <w:rPr>
                <w:color w:val="auto"/>
                <w:spacing w:val="7"/>
                <w:lang w:eastAsia="zh-CN"/>
              </w:rPr>
              <w:t>住院患者总数的比例。</w:t>
            </w:r>
          </w:p>
          <w:p>
            <w:pPr>
              <w:pStyle w:val="8"/>
              <w:spacing w:before="0" w:line="240" w:lineRule="exact"/>
              <w:ind w:left="26" w:hanging="5"/>
              <w:rPr>
                <w:color w:val="auto"/>
                <w:lang w:eastAsia="zh-CN"/>
              </w:rPr>
            </w:pPr>
            <w:r>
              <w:rPr>
                <w:color w:val="auto"/>
                <w:spacing w:val="3"/>
                <w:lang w:eastAsia="zh-CN"/>
              </w:rPr>
              <w:t>说明：为便于统计，住院患者使用抗菌药物人</w:t>
            </w:r>
            <w:r>
              <w:rPr>
                <w:color w:val="auto"/>
                <w:spacing w:val="5"/>
                <w:lang w:eastAsia="zh-CN"/>
              </w:rPr>
              <w:t>数和住院患者总数均以出院患者的人数计算。</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269" w:type="dxa"/>
            <w:vMerge w:val="continue"/>
            <w:tcBorders>
              <w:top w:val="nil"/>
              <w:bottom w:val="nil"/>
            </w:tcBorders>
          </w:tcPr>
          <w:p>
            <w:pPr>
              <w:spacing w:line="240" w:lineRule="exact"/>
              <w:rPr>
                <w:color w:val="auto"/>
              </w:rPr>
            </w:pP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80"/>
              <w:jc w:val="both"/>
              <w:rPr>
                <w:color w:val="auto"/>
                <w:lang w:eastAsia="zh-CN"/>
              </w:rPr>
            </w:pPr>
            <w:r>
              <w:rPr>
                <w:color w:val="auto"/>
                <w:spacing w:val="8"/>
                <w:lang w:eastAsia="zh-CN"/>
              </w:rPr>
              <w:t>（十一）住院患者抗菌药物使用情况</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47" w:firstLine="15"/>
              <w:jc w:val="both"/>
              <w:rPr>
                <w:color w:val="auto"/>
                <w:lang w:eastAsia="zh-CN"/>
              </w:rPr>
            </w:pPr>
            <w:r>
              <w:rPr>
                <w:rFonts w:ascii="Times New Roman" w:hAnsi="Times New Roman" w:eastAsia="Times New Roman" w:cs="Times New Roman"/>
                <w:color w:val="auto"/>
                <w:spacing w:val="3"/>
                <w:lang w:eastAsia="zh-CN"/>
              </w:rPr>
              <w:t>1.</w:t>
            </w:r>
            <w:r>
              <w:rPr>
                <w:color w:val="auto"/>
                <w:spacing w:val="3"/>
                <w:lang w:eastAsia="zh-CN"/>
              </w:rPr>
              <w:t>住院患者</w:t>
            </w:r>
            <w:r>
              <w:rPr>
                <w:color w:val="auto"/>
                <w:spacing w:val="8"/>
                <w:lang w:eastAsia="zh-CN"/>
              </w:rPr>
              <w:t>抗菌药物使</w:t>
            </w:r>
            <w:r>
              <w:rPr>
                <w:color w:val="auto"/>
                <w:spacing w:val="7"/>
                <w:lang w:eastAsia="zh-CN"/>
              </w:rPr>
              <w:t>用强度</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before="0" w:line="240" w:lineRule="exact"/>
              <w:ind w:left="263"/>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5"/>
                <w:sz w:val="19"/>
                <w:szCs w:val="19"/>
              </w:rPr>
              <w:t>DDD</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1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住院患者抗菌药物使用量（累计</w:t>
            </w:r>
            <w:r>
              <w:rPr>
                <w:rFonts w:ascii="Times New Roman" w:hAnsi="Times New Roman" w:eastAsia="Times New Roman" w:cs="Times New Roman"/>
                <w:color w:val="auto"/>
                <w:lang w:eastAsia="zh-CN"/>
              </w:rPr>
              <w:t>DDD</w:t>
            </w:r>
            <w:r>
              <w:rPr>
                <w:color w:val="auto"/>
                <w:spacing w:val="8"/>
                <w:lang w:eastAsia="zh-CN"/>
              </w:rPr>
              <w:t>数）</w:t>
            </w:r>
            <w:r>
              <w:rPr>
                <w:rFonts w:ascii="Times New Roman" w:hAnsi="Times New Roman" w:eastAsia="Times New Roman" w:cs="Times New Roman"/>
                <w:color w:val="auto"/>
                <w:spacing w:val="8"/>
                <w:lang w:eastAsia="zh-CN"/>
              </w:rPr>
              <w:t>/</w:t>
            </w:r>
            <w:r>
              <w:rPr>
                <w:color w:val="auto"/>
                <w:spacing w:val="8"/>
                <w:lang w:eastAsia="zh-CN"/>
              </w:rPr>
              <w:t>同期住院患者床日数</w:t>
            </w:r>
            <w:r>
              <w:rPr>
                <w:rFonts w:ascii="Times New Roman" w:hAnsi="Times New Roman" w:eastAsia="Times New Roman" w:cs="Times New Roman"/>
                <w:color w:val="auto"/>
                <w:spacing w:val="-2"/>
                <w:lang w:eastAsia="zh-CN"/>
              </w:rPr>
              <w:t>×100</w:t>
            </w:r>
          </w:p>
        </w:tc>
        <w:tc>
          <w:tcPr>
            <w:tcW w:w="3943" w:type="dxa"/>
          </w:tcPr>
          <w:p>
            <w:pPr>
              <w:pStyle w:val="8"/>
              <w:spacing w:before="0" w:line="240" w:lineRule="exact"/>
              <w:ind w:left="27" w:right="10" w:hanging="2"/>
              <w:rPr>
                <w:color w:val="auto"/>
                <w:lang w:eastAsia="zh-CN"/>
              </w:rPr>
            </w:pPr>
            <w:r>
              <w:rPr>
                <w:color w:val="auto"/>
                <w:spacing w:val="15"/>
                <w:lang w:eastAsia="zh-CN"/>
              </w:rPr>
              <w:t>住院患者平均每日每百张床位所消耗抗菌药</w:t>
            </w:r>
            <w:r>
              <w:rPr>
                <w:color w:val="auto"/>
                <w:spacing w:val="4"/>
                <w:lang w:eastAsia="zh-CN"/>
              </w:rPr>
              <w:t>物的</w:t>
            </w:r>
            <w:r>
              <w:rPr>
                <w:rFonts w:ascii="Times New Roman" w:hAnsi="Times New Roman" w:eastAsia="Times New Roman" w:cs="Times New Roman"/>
                <w:color w:val="auto"/>
                <w:lang w:eastAsia="zh-CN"/>
              </w:rPr>
              <w:t>DDD</w:t>
            </w:r>
            <w:r>
              <w:rPr>
                <w:color w:val="auto"/>
                <w:spacing w:val="4"/>
                <w:lang w:eastAsia="zh-CN"/>
              </w:rPr>
              <w:t>数。</w:t>
            </w:r>
          </w:p>
          <w:p>
            <w:pPr>
              <w:pStyle w:val="8"/>
              <w:spacing w:before="0" w:line="240" w:lineRule="exact"/>
              <w:ind w:left="16" w:right="7" w:firstLine="4"/>
              <w:jc w:val="both"/>
              <w:rPr>
                <w:color w:val="auto"/>
                <w:lang w:eastAsia="zh-CN"/>
              </w:rPr>
            </w:pPr>
            <w:r>
              <w:rPr>
                <w:color w:val="auto"/>
                <w:spacing w:val="7"/>
                <w:lang w:eastAsia="zh-CN"/>
              </w:rPr>
              <w:t>说明</w:t>
            </w:r>
            <w:r>
              <w:rPr>
                <w:color w:val="auto"/>
                <w:spacing w:val="-25"/>
                <w:lang w:eastAsia="zh-CN"/>
              </w:rPr>
              <w:t>：（</w:t>
            </w:r>
            <w:r>
              <w:rPr>
                <w:rFonts w:ascii="Times New Roman" w:hAnsi="Times New Roman" w:eastAsia="Times New Roman" w:cs="Times New Roman"/>
                <w:color w:val="auto"/>
                <w:spacing w:val="7"/>
                <w:lang w:eastAsia="zh-CN"/>
              </w:rPr>
              <w:t>1</w:t>
            </w:r>
            <w:r>
              <w:rPr>
                <w:color w:val="auto"/>
                <w:spacing w:val="7"/>
                <w:lang w:eastAsia="zh-CN"/>
              </w:rPr>
              <w:t>）</w:t>
            </w:r>
            <w:r>
              <w:rPr>
                <w:rFonts w:ascii="Times New Roman" w:hAnsi="Times New Roman" w:eastAsia="Times New Roman" w:cs="Times New Roman"/>
                <w:color w:val="auto"/>
                <w:lang w:eastAsia="zh-CN"/>
              </w:rPr>
              <w:t>DDD</w:t>
            </w:r>
            <w:r>
              <w:rPr>
                <w:color w:val="auto"/>
                <w:spacing w:val="7"/>
                <w:lang w:eastAsia="zh-CN"/>
              </w:rPr>
              <w:t>又称为</w:t>
            </w:r>
            <w:r>
              <w:rPr>
                <w:rFonts w:ascii="Times New Roman" w:hAnsi="Times New Roman" w:eastAsia="Times New Roman" w:cs="Times New Roman"/>
                <w:color w:val="auto"/>
                <w:spacing w:val="7"/>
                <w:lang w:eastAsia="zh-CN"/>
              </w:rPr>
              <w:t>“</w:t>
            </w:r>
            <w:r>
              <w:rPr>
                <w:color w:val="auto"/>
                <w:spacing w:val="7"/>
                <w:lang w:eastAsia="zh-CN"/>
              </w:rPr>
              <w:t>限定日剂量</w:t>
            </w:r>
            <w:r>
              <w:rPr>
                <w:rFonts w:ascii="Times New Roman" w:hAnsi="Times New Roman" w:eastAsia="Times New Roman" w:cs="Times New Roman"/>
                <w:color w:val="auto"/>
                <w:spacing w:val="7"/>
                <w:lang w:eastAsia="zh-CN"/>
              </w:rPr>
              <w:t>”</w:t>
            </w:r>
            <w:r>
              <w:rPr>
                <w:color w:val="auto"/>
                <w:spacing w:val="7"/>
                <w:lang w:eastAsia="zh-CN"/>
              </w:rPr>
              <w:t>，是指</w:t>
            </w:r>
            <w:r>
              <w:rPr>
                <w:color w:val="auto"/>
                <w:spacing w:val="15"/>
                <w:lang w:eastAsia="zh-CN"/>
              </w:rPr>
              <w:t>一个药品以主要适应证用于成年人的维持日</w:t>
            </w:r>
            <w:r>
              <w:rPr>
                <w:color w:val="auto"/>
                <w:spacing w:val="13"/>
                <w:lang w:eastAsia="zh-CN"/>
              </w:rPr>
              <w:t>剂量。</w:t>
            </w:r>
            <w:r>
              <w:rPr>
                <w:rFonts w:ascii="Times New Roman" w:hAnsi="Times New Roman" w:eastAsia="Times New Roman" w:cs="Times New Roman"/>
                <w:color w:val="auto"/>
                <w:lang w:eastAsia="zh-CN"/>
              </w:rPr>
              <w:t>DDD</w:t>
            </w:r>
            <w:r>
              <w:rPr>
                <w:color w:val="auto"/>
                <w:spacing w:val="13"/>
                <w:lang w:eastAsia="zh-CN"/>
              </w:rPr>
              <w:t>值来源于</w:t>
            </w:r>
            <w:r>
              <w:rPr>
                <w:rFonts w:ascii="Times New Roman" w:hAnsi="Times New Roman" w:eastAsia="Times New Roman" w:cs="Times New Roman"/>
                <w:color w:val="auto"/>
                <w:lang w:eastAsia="zh-CN"/>
              </w:rPr>
              <w:t>WHO</w:t>
            </w:r>
            <w:r>
              <w:rPr>
                <w:color w:val="auto"/>
                <w:spacing w:val="13"/>
                <w:lang w:eastAsia="zh-CN"/>
              </w:rPr>
              <w:t>药物统计方法合</w:t>
            </w:r>
            <w:r>
              <w:rPr>
                <w:color w:val="auto"/>
                <w:spacing w:val="19"/>
                <w:lang w:eastAsia="zh-CN"/>
              </w:rPr>
              <w:t>作中心提供的</w:t>
            </w:r>
            <w:r>
              <w:rPr>
                <w:rFonts w:ascii="Times New Roman" w:hAnsi="Times New Roman" w:eastAsia="Times New Roman" w:cs="Times New Roman"/>
                <w:color w:val="auto"/>
                <w:lang w:eastAsia="zh-CN"/>
              </w:rPr>
              <w:t>ATCIndex</w:t>
            </w:r>
            <w:r>
              <w:rPr>
                <w:color w:val="auto"/>
                <w:spacing w:val="19"/>
                <w:lang w:eastAsia="zh-CN"/>
              </w:rPr>
              <w:t>。对于未给出明确</w:t>
            </w:r>
            <w:r>
              <w:rPr>
                <w:rFonts w:ascii="Times New Roman" w:hAnsi="Times New Roman" w:eastAsia="Times New Roman" w:cs="Times New Roman"/>
                <w:color w:val="auto"/>
                <w:lang w:eastAsia="zh-CN"/>
              </w:rPr>
              <w:t>DDD</w:t>
            </w:r>
            <w:r>
              <w:rPr>
                <w:color w:val="auto"/>
                <w:spacing w:val="12"/>
                <w:lang w:eastAsia="zh-CN"/>
              </w:rPr>
              <w:t>值的抗菌药物，参照国家卫生健康委抗</w:t>
            </w:r>
            <w:r>
              <w:rPr>
                <w:color w:val="auto"/>
                <w:spacing w:val="9"/>
                <w:lang w:eastAsia="zh-CN"/>
              </w:rPr>
              <w:t>菌药物临床应用监测网提供的数据。</w:t>
            </w:r>
          </w:p>
          <w:p>
            <w:pPr>
              <w:pStyle w:val="8"/>
              <w:spacing w:line="240" w:lineRule="exact"/>
              <w:ind w:left="35" w:right="10" w:hanging="17"/>
              <w:rPr>
                <w:color w:val="auto"/>
                <w:lang w:eastAsia="zh-CN"/>
              </w:rPr>
            </w:pPr>
            <w:r>
              <w:rPr>
                <w:color w:val="auto"/>
                <w:spacing w:val="7"/>
                <w:lang w:eastAsia="zh-CN"/>
              </w:rPr>
              <w:t>（</w:t>
            </w:r>
            <w:r>
              <w:rPr>
                <w:rFonts w:ascii="Times New Roman" w:hAnsi="Times New Roman" w:eastAsia="Times New Roman" w:cs="Times New Roman"/>
                <w:color w:val="auto"/>
                <w:spacing w:val="7"/>
                <w:lang w:eastAsia="zh-CN"/>
              </w:rPr>
              <w:t>2</w:t>
            </w:r>
            <w:r>
              <w:rPr>
                <w:color w:val="auto"/>
                <w:spacing w:val="7"/>
                <w:lang w:eastAsia="zh-CN"/>
              </w:rPr>
              <w:t>）住院患者床日数</w:t>
            </w:r>
            <w:r>
              <w:rPr>
                <w:rFonts w:ascii="Times New Roman" w:hAnsi="Times New Roman" w:eastAsia="Times New Roman" w:cs="Times New Roman"/>
                <w:color w:val="auto"/>
                <w:spacing w:val="7"/>
                <w:lang w:eastAsia="zh-CN"/>
              </w:rPr>
              <w:t>=</w:t>
            </w:r>
            <w:r>
              <w:rPr>
                <w:color w:val="auto"/>
                <w:spacing w:val="7"/>
                <w:lang w:eastAsia="zh-CN"/>
              </w:rPr>
              <w:t>平均住院天数</w:t>
            </w:r>
            <w:r>
              <w:rPr>
                <w:rFonts w:ascii="Times New Roman" w:hAnsi="Times New Roman" w:eastAsia="Times New Roman" w:cs="Times New Roman"/>
                <w:color w:val="auto"/>
                <w:spacing w:val="7"/>
                <w:lang w:eastAsia="zh-CN"/>
              </w:rPr>
              <w:t>×</w:t>
            </w:r>
            <w:r>
              <w:rPr>
                <w:color w:val="auto"/>
                <w:spacing w:val="7"/>
                <w:lang w:eastAsia="zh-CN"/>
              </w:rPr>
              <w:t>同期出</w:t>
            </w:r>
            <w:r>
              <w:rPr>
                <w:color w:val="auto"/>
                <w:spacing w:val="4"/>
                <w:lang w:eastAsia="zh-CN"/>
              </w:rPr>
              <w:t>院患者总数。</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18" w:right="47" w:hanging="3"/>
              <w:jc w:val="both"/>
              <w:rPr>
                <w:color w:val="auto"/>
                <w:lang w:eastAsia="zh-CN"/>
              </w:rPr>
            </w:pPr>
            <w:r>
              <w:rPr>
                <w:rFonts w:ascii="Times New Roman" w:hAnsi="Times New Roman" w:eastAsia="Times New Roman" w:cs="Times New Roman"/>
                <w:color w:val="auto"/>
                <w:spacing w:val="6"/>
                <w:lang w:eastAsia="zh-CN"/>
              </w:rPr>
              <w:t>2.</w:t>
            </w:r>
            <w:r>
              <w:rPr>
                <w:color w:val="auto"/>
                <w:spacing w:val="6"/>
                <w:lang w:eastAsia="zh-CN"/>
              </w:rPr>
              <w:t>住院患者</w:t>
            </w:r>
            <w:r>
              <w:rPr>
                <w:color w:val="auto"/>
                <w:spacing w:val="8"/>
                <w:lang w:eastAsia="zh-CN"/>
              </w:rPr>
              <w:t>特殊使用级抗菌药物使</w:t>
            </w:r>
            <w:r>
              <w:rPr>
                <w:color w:val="auto"/>
                <w:spacing w:val="7"/>
                <w:lang w:eastAsia="zh-CN"/>
              </w:rPr>
              <w:t>用量占比</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7" w:right="12" w:hanging="1"/>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住院患者特殊使用级抗菌药物</w:t>
            </w:r>
            <w:r>
              <w:rPr>
                <w:color w:val="auto"/>
                <w:spacing w:val="2"/>
                <w:lang w:eastAsia="zh-CN"/>
              </w:rPr>
              <w:t>使用量（累计</w:t>
            </w:r>
            <w:r>
              <w:rPr>
                <w:rFonts w:ascii="Times New Roman" w:hAnsi="Times New Roman" w:eastAsia="Times New Roman" w:cs="Times New Roman"/>
                <w:color w:val="auto"/>
                <w:lang w:eastAsia="zh-CN"/>
              </w:rPr>
              <w:t>DDD</w:t>
            </w:r>
            <w:r>
              <w:rPr>
                <w:color w:val="auto"/>
                <w:spacing w:val="2"/>
                <w:lang w:eastAsia="zh-CN"/>
              </w:rPr>
              <w:t>数）</w:t>
            </w:r>
            <w:r>
              <w:rPr>
                <w:rFonts w:ascii="Times New Roman" w:hAnsi="Times New Roman" w:eastAsia="Times New Roman" w:cs="Times New Roman"/>
                <w:color w:val="auto"/>
                <w:spacing w:val="2"/>
                <w:lang w:eastAsia="zh-CN"/>
              </w:rPr>
              <w:t>/</w:t>
            </w:r>
            <w:r>
              <w:rPr>
                <w:color w:val="auto"/>
                <w:spacing w:val="2"/>
                <w:lang w:eastAsia="zh-CN"/>
              </w:rPr>
              <w:t>同期住院</w:t>
            </w:r>
            <w:r>
              <w:rPr>
                <w:color w:val="auto"/>
                <w:spacing w:val="10"/>
                <w:lang w:eastAsia="zh-CN"/>
              </w:rPr>
              <w:t>患者抗菌药物使用量（累计</w:t>
            </w:r>
            <w:r>
              <w:rPr>
                <w:rFonts w:ascii="Times New Roman" w:hAnsi="Times New Roman" w:eastAsia="Times New Roman" w:cs="Times New Roman"/>
                <w:color w:val="auto"/>
                <w:lang w:eastAsia="zh-CN"/>
              </w:rPr>
              <w:t>DDD</w:t>
            </w:r>
            <w:r>
              <w:rPr>
                <w:color w:val="auto"/>
                <w:spacing w:val="-2"/>
                <w:lang w:eastAsia="zh-CN"/>
              </w:rPr>
              <w:t>数）</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25" w:right="10"/>
              <w:rPr>
                <w:color w:val="auto"/>
                <w:lang w:eastAsia="zh-CN"/>
              </w:rPr>
            </w:pPr>
            <w:r>
              <w:rPr>
                <w:color w:val="auto"/>
                <w:spacing w:val="15"/>
                <w:lang w:eastAsia="zh-CN"/>
              </w:rPr>
              <w:t>住院患者特殊使用级抗菌药物使用量占同期</w:t>
            </w:r>
            <w:r>
              <w:rPr>
                <w:color w:val="auto"/>
                <w:spacing w:val="8"/>
                <w:lang w:eastAsia="zh-CN"/>
              </w:rPr>
              <w:t>住院患者抗菌药物使用量的比例。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pStyle w:val="8"/>
              <w:spacing w:before="0" w:line="240" w:lineRule="exact"/>
              <w:ind w:left="27" w:right="47" w:hanging="8"/>
              <w:rPr>
                <w:color w:val="auto"/>
              </w:rPr>
            </w:pPr>
            <w:r>
              <w:rPr>
                <w:rFonts w:ascii="Times New Roman" w:hAnsi="Times New Roman" w:eastAsia="Times New Roman" w:cs="Times New Roman"/>
                <w:color w:val="auto"/>
                <w:spacing w:val="-6"/>
              </w:rPr>
              <w:t>3.</w:t>
            </w:r>
            <w:r>
              <w:rPr>
                <w:rFonts w:ascii="宋体" w:hAnsi="宋体" w:eastAsia="宋体" w:cs="宋体"/>
                <w:color w:val="auto"/>
                <w:spacing w:val="-6"/>
              </w:rPr>
              <w:t>Ⅰ</w:t>
            </w:r>
            <w:r>
              <w:rPr>
                <w:color w:val="auto"/>
                <w:spacing w:val="-6"/>
              </w:rPr>
              <w:t>类切口</w:t>
            </w:r>
            <w:r>
              <w:rPr>
                <w:color w:val="auto"/>
                <w:spacing w:val="6"/>
              </w:rPr>
              <w:t>手术抗菌药</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6" w:right="68" w:hanging="10"/>
              <w:rPr>
                <w:color w:val="auto"/>
                <w:lang w:eastAsia="zh-CN"/>
              </w:rPr>
            </w:pPr>
            <w:r>
              <w:rPr>
                <w:rFonts w:ascii="Times New Roman" w:hAnsi="Times New Roman" w:eastAsia="Times New Roman" w:cs="Times New Roman"/>
                <w:color w:val="auto"/>
                <w:spacing w:val="9"/>
                <w:lang w:eastAsia="zh-CN"/>
              </w:rPr>
              <w:t>=</w:t>
            </w:r>
            <w:r>
              <w:rPr>
                <w:rFonts w:ascii="宋体" w:hAnsi="宋体" w:eastAsia="宋体" w:cs="宋体"/>
                <w:color w:val="auto"/>
                <w:spacing w:val="9"/>
                <w:lang w:eastAsia="zh-CN"/>
              </w:rPr>
              <w:t>Ⅰ</w:t>
            </w:r>
            <w:r>
              <w:rPr>
                <w:color w:val="auto"/>
                <w:spacing w:val="9"/>
                <w:lang w:eastAsia="zh-CN"/>
              </w:rPr>
              <w:t>类切口手术预防使用抗菌药</w:t>
            </w:r>
            <w:r>
              <w:rPr>
                <w:color w:val="auto"/>
                <w:spacing w:val="5"/>
                <w:lang w:eastAsia="zh-CN"/>
              </w:rPr>
              <w:t>物的患者数同期</w:t>
            </w:r>
            <w:r>
              <w:rPr>
                <w:rFonts w:ascii="宋体" w:hAnsi="宋体" w:eastAsia="宋体" w:cs="宋体"/>
                <w:color w:val="auto"/>
                <w:spacing w:val="5"/>
                <w:lang w:eastAsia="zh-CN"/>
              </w:rPr>
              <w:t>Ⅰ</w:t>
            </w:r>
            <w:r>
              <w:rPr>
                <w:color w:val="auto"/>
                <w:spacing w:val="5"/>
                <w:lang w:eastAsia="zh-CN"/>
              </w:rPr>
              <w:t>类切口手术患</w:t>
            </w:r>
          </w:p>
        </w:tc>
        <w:tc>
          <w:tcPr>
            <w:tcW w:w="3943" w:type="dxa"/>
          </w:tcPr>
          <w:p>
            <w:pPr>
              <w:pStyle w:val="8"/>
              <w:spacing w:before="0" w:line="240" w:lineRule="exact"/>
              <w:ind w:left="41" w:right="12" w:firstLine="44"/>
              <w:rPr>
                <w:color w:val="auto"/>
                <w:lang w:eastAsia="zh-CN"/>
              </w:rPr>
            </w:pPr>
            <w:r>
              <w:rPr>
                <w:rFonts w:ascii="宋体" w:hAnsi="宋体" w:eastAsia="宋体" w:cs="宋体"/>
                <w:color w:val="auto"/>
                <w:spacing w:val="12"/>
                <w:lang w:eastAsia="zh-CN"/>
              </w:rPr>
              <w:t>Ⅰ</w:t>
            </w:r>
            <w:r>
              <w:rPr>
                <w:color w:val="auto"/>
                <w:spacing w:val="12"/>
                <w:lang w:eastAsia="zh-CN"/>
              </w:rPr>
              <w:t>类切口手术预防使用抗菌药物的患者数占</w:t>
            </w:r>
            <w:r>
              <w:rPr>
                <w:color w:val="auto"/>
                <w:spacing w:val="7"/>
                <w:lang w:eastAsia="zh-CN"/>
              </w:rPr>
              <w:t>同期</w:t>
            </w:r>
            <w:r>
              <w:rPr>
                <w:rFonts w:ascii="宋体" w:hAnsi="宋体" w:eastAsia="宋体" w:cs="宋体"/>
                <w:color w:val="auto"/>
                <w:spacing w:val="7"/>
                <w:lang w:eastAsia="zh-CN"/>
              </w:rPr>
              <w:t>Ⅰ</w:t>
            </w:r>
            <w:r>
              <w:rPr>
                <w:color w:val="auto"/>
                <w:spacing w:val="7"/>
                <w:lang w:eastAsia="zh-CN"/>
              </w:rPr>
              <w:t>类切口手术患者总数的比例。</w:t>
            </w:r>
          </w:p>
        </w:tc>
        <w:tc>
          <w:tcPr>
            <w:tcW w:w="1177" w:type="dxa"/>
          </w:tcPr>
          <w:p>
            <w:pPr>
              <w:pStyle w:val="8"/>
              <w:spacing w:before="0" w:line="240" w:lineRule="exact"/>
              <w:ind w:left="200"/>
              <w:rPr>
                <w:color w:val="auto"/>
              </w:rPr>
            </w:pPr>
            <w:r>
              <w:rPr>
                <w:color w:val="auto"/>
                <w:spacing w:val="6"/>
              </w:rPr>
              <w:t>监测比较</w:t>
            </w:r>
          </w:p>
        </w:tc>
      </w:tr>
    </w:tbl>
    <w:p>
      <w:pPr>
        <w:spacing w:line="240" w:lineRule="exact"/>
        <w:rPr>
          <w:color w:val="auto"/>
        </w:rPr>
      </w:pPr>
    </w:p>
    <w:p>
      <w:pPr>
        <w:spacing w:line="240" w:lineRule="exact"/>
        <w:rPr>
          <w:color w:val="auto"/>
        </w:rPr>
        <w:sectPr>
          <w:footerReference r:id="rId41"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269" w:type="dxa"/>
            <w:vMerge w:val="restart"/>
            <w:tcBorders>
              <w:bottom w:val="nil"/>
            </w:tcBorders>
          </w:tcPr>
          <w:p>
            <w:pPr>
              <w:spacing w:line="240" w:lineRule="exact"/>
              <w:rPr>
                <w:color w:val="auto"/>
              </w:rPr>
            </w:pPr>
          </w:p>
        </w:tc>
        <w:tc>
          <w:tcPr>
            <w:tcW w:w="895" w:type="dxa"/>
          </w:tcPr>
          <w:p>
            <w:pPr>
              <w:spacing w:line="240" w:lineRule="exact"/>
              <w:rPr>
                <w:color w:val="auto"/>
              </w:rPr>
            </w:pPr>
          </w:p>
        </w:tc>
        <w:tc>
          <w:tcPr>
            <w:tcW w:w="1062" w:type="dxa"/>
          </w:tcPr>
          <w:p>
            <w:pPr>
              <w:pStyle w:val="8"/>
              <w:spacing w:before="0" w:line="240" w:lineRule="exact"/>
              <w:ind w:left="24" w:right="47"/>
              <w:rPr>
                <w:color w:val="auto"/>
              </w:rPr>
            </w:pPr>
            <w:r>
              <w:rPr>
                <w:color w:val="auto"/>
                <w:spacing w:val="6"/>
              </w:rPr>
              <w:t>物预防使用</w:t>
            </w:r>
            <w:r>
              <w:rPr>
                <w:color w:val="auto"/>
              </w:rPr>
              <w:t>率</w:t>
            </w: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pStyle w:val="8"/>
              <w:spacing w:before="0" w:line="240" w:lineRule="exact"/>
              <w:ind w:left="21"/>
              <w:rPr>
                <w:rFonts w:ascii="Times New Roman" w:hAnsi="Times New Roman" w:eastAsia="Times New Roman" w:cs="Times New Roman"/>
                <w:color w:val="auto"/>
              </w:rPr>
            </w:pPr>
            <w:r>
              <w:rPr>
                <w:color w:val="auto"/>
                <w:spacing w:val="3"/>
                <w:position w:val="1"/>
              </w:rPr>
              <w:t>者总数</w:t>
            </w:r>
            <w:r>
              <w:rPr>
                <w:rFonts w:ascii="Times New Roman" w:hAnsi="Times New Roman" w:eastAsia="Times New Roman" w:cs="Times New Roman"/>
                <w:color w:val="auto"/>
                <w:spacing w:val="3"/>
                <w:position w:val="1"/>
              </w:rPr>
              <w:t>×100%</w:t>
            </w:r>
          </w:p>
        </w:tc>
        <w:tc>
          <w:tcPr>
            <w:tcW w:w="3943" w:type="dxa"/>
          </w:tcPr>
          <w:p>
            <w:pPr>
              <w:spacing w:line="240" w:lineRule="exact"/>
              <w:rPr>
                <w:color w:val="auto"/>
              </w:rPr>
            </w:pPr>
          </w:p>
        </w:tc>
        <w:tc>
          <w:tcPr>
            <w:tcW w:w="1177" w:type="dxa"/>
          </w:tcPr>
          <w:p>
            <w:pPr>
              <w:spacing w:line="240" w:lineRule="exact"/>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lang w:eastAsia="zh-CN"/>
              </w:rPr>
            </w:pPr>
          </w:p>
          <w:p>
            <w:pPr>
              <w:pStyle w:val="8"/>
              <w:spacing w:before="0" w:line="240" w:lineRule="exact"/>
              <w:ind w:left="23" w:right="14" w:hanging="8"/>
              <w:rPr>
                <w:color w:val="auto"/>
                <w:lang w:eastAsia="zh-CN"/>
              </w:rPr>
            </w:pPr>
            <w:r>
              <w:rPr>
                <w:color w:val="auto"/>
                <w:spacing w:val="2"/>
                <w:lang w:eastAsia="zh-CN"/>
              </w:rPr>
              <w:t>（十二）住院患者中药</w:t>
            </w:r>
            <w:r>
              <w:rPr>
                <w:color w:val="auto"/>
                <w:spacing w:val="8"/>
                <w:lang w:eastAsia="zh-CN"/>
              </w:rPr>
              <w:t>注射剂静脉输液使用</w:t>
            </w:r>
            <w:r>
              <w:rPr>
                <w:color w:val="auto"/>
                <w:lang w:eastAsia="zh-CN"/>
              </w:rPr>
              <w:t>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31" w:right="89"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使用中药注射剂静脉输液住院</w:t>
            </w:r>
            <w:r>
              <w:rPr>
                <w:color w:val="auto"/>
                <w:spacing w:val="5"/>
                <w:lang w:eastAsia="zh-CN"/>
              </w:rPr>
              <w:t>患者数</w:t>
            </w:r>
            <w:r>
              <w:rPr>
                <w:rFonts w:ascii="Times New Roman" w:hAnsi="Times New Roman" w:eastAsia="Times New Roman" w:cs="Times New Roman"/>
                <w:color w:val="auto"/>
                <w:spacing w:val="5"/>
                <w:lang w:eastAsia="zh-CN"/>
              </w:rPr>
              <w:t>/</w:t>
            </w:r>
            <w:r>
              <w:rPr>
                <w:color w:val="auto"/>
                <w:spacing w:val="5"/>
                <w:lang w:eastAsia="zh-CN"/>
              </w:rPr>
              <w:t>同期住院患者总数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3" w:right="10" w:hanging="5"/>
              <w:rPr>
                <w:color w:val="auto"/>
                <w:lang w:eastAsia="zh-CN"/>
              </w:rPr>
            </w:pPr>
            <w:r>
              <w:rPr>
                <w:color w:val="auto"/>
                <w:spacing w:val="15"/>
                <w:lang w:eastAsia="zh-CN"/>
              </w:rPr>
              <w:t>使用中药注射剂静脉输液的住院患者数占同</w:t>
            </w:r>
            <w:r>
              <w:rPr>
                <w:color w:val="auto"/>
                <w:spacing w:val="7"/>
                <w:lang w:eastAsia="zh-CN"/>
              </w:rPr>
              <w:t>期住院患者总数的比例。</w:t>
            </w:r>
          </w:p>
          <w:p>
            <w:pPr>
              <w:pStyle w:val="8"/>
              <w:spacing w:before="0" w:line="240" w:lineRule="exact"/>
              <w:ind w:left="33" w:right="12" w:hanging="12"/>
              <w:rPr>
                <w:color w:val="auto"/>
                <w:lang w:eastAsia="zh-CN"/>
              </w:rPr>
            </w:pPr>
            <w:r>
              <w:rPr>
                <w:color w:val="auto"/>
                <w:spacing w:val="10"/>
                <w:lang w:eastAsia="zh-CN"/>
              </w:rPr>
              <w:t>说明</w:t>
            </w:r>
            <w:r>
              <w:rPr>
                <w:color w:val="auto"/>
                <w:spacing w:val="-14"/>
                <w:lang w:eastAsia="zh-CN"/>
              </w:rPr>
              <w:t>：（</w:t>
            </w:r>
            <w:r>
              <w:rPr>
                <w:rFonts w:ascii="Times New Roman" w:hAnsi="Times New Roman" w:eastAsia="Times New Roman" w:cs="Times New Roman"/>
                <w:color w:val="auto"/>
                <w:spacing w:val="10"/>
                <w:lang w:eastAsia="zh-CN"/>
              </w:rPr>
              <w:t>1</w:t>
            </w:r>
            <w:r>
              <w:rPr>
                <w:color w:val="auto"/>
                <w:spacing w:val="10"/>
                <w:lang w:eastAsia="zh-CN"/>
              </w:rPr>
              <w:t>）中药注射剂指批准文号为国药准</w:t>
            </w:r>
            <w:r>
              <w:rPr>
                <w:color w:val="auto"/>
                <w:spacing w:val="4"/>
                <w:lang w:eastAsia="zh-CN"/>
              </w:rPr>
              <w:t>字</w:t>
            </w:r>
            <w:r>
              <w:rPr>
                <w:rFonts w:ascii="Times New Roman" w:hAnsi="Times New Roman" w:eastAsia="Times New Roman" w:cs="Times New Roman"/>
                <w:color w:val="auto"/>
                <w:spacing w:val="4"/>
                <w:lang w:eastAsia="zh-CN"/>
              </w:rPr>
              <w:t>“Z”</w:t>
            </w:r>
            <w:r>
              <w:rPr>
                <w:color w:val="auto"/>
                <w:spacing w:val="4"/>
                <w:lang w:eastAsia="zh-CN"/>
              </w:rPr>
              <w:t>开头的注射剂。</w:t>
            </w:r>
          </w:p>
          <w:p>
            <w:pPr>
              <w:pStyle w:val="8"/>
              <w:spacing w:before="0" w:line="240" w:lineRule="exact"/>
              <w:ind w:left="25" w:right="10" w:hanging="7"/>
              <w:jc w:val="both"/>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）为便于统计，使用中药注射剂静脉输液</w:t>
            </w:r>
            <w:r>
              <w:rPr>
                <w:color w:val="auto"/>
                <w:spacing w:val="15"/>
                <w:lang w:eastAsia="zh-CN"/>
              </w:rPr>
              <w:t>住院患者数和住院患者总数均以出院患者数</w:t>
            </w:r>
            <w:r>
              <w:rPr>
                <w:color w:val="auto"/>
                <w:spacing w:val="2"/>
                <w:lang w:eastAsia="zh-CN"/>
              </w:rPr>
              <w:t>计算。</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lang w:eastAsia="zh-CN"/>
              </w:rPr>
            </w:pPr>
          </w:p>
          <w:p>
            <w:pPr>
              <w:spacing w:line="240" w:lineRule="exact"/>
              <w:rPr>
                <w:color w:val="auto"/>
                <w:lang w:eastAsia="zh-CN"/>
              </w:rPr>
            </w:pPr>
          </w:p>
          <w:p>
            <w:pPr>
              <w:pStyle w:val="8"/>
              <w:spacing w:before="0" w:line="240" w:lineRule="exact"/>
              <w:ind w:left="15" w:right="14"/>
              <w:rPr>
                <w:color w:val="auto"/>
                <w:lang w:eastAsia="zh-CN"/>
              </w:rPr>
            </w:pPr>
            <w:r>
              <w:rPr>
                <w:color w:val="auto"/>
                <w:spacing w:val="2"/>
                <w:lang w:eastAsia="zh-CN"/>
              </w:rPr>
              <w:t>（十三）住院患者质子</w:t>
            </w:r>
            <w:r>
              <w:rPr>
                <w:color w:val="auto"/>
                <w:spacing w:val="9"/>
                <w:lang w:eastAsia="zh-CN"/>
              </w:rPr>
              <w:t>泵抑制药注射剂静脉</w:t>
            </w:r>
            <w:r>
              <w:rPr>
                <w:color w:val="auto"/>
                <w:spacing w:val="8"/>
                <w:lang w:eastAsia="zh-CN"/>
              </w:rPr>
              <w:t>使用率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8" w:right="68" w:hanging="1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静脉使用质子泵抑制药注射剂</w:t>
            </w:r>
            <w:r>
              <w:rPr>
                <w:color w:val="auto"/>
                <w:spacing w:val="8"/>
                <w:lang w:eastAsia="zh-CN"/>
              </w:rPr>
              <w:t>的住院患者数</w:t>
            </w:r>
            <w:r>
              <w:rPr>
                <w:rFonts w:ascii="Times New Roman" w:hAnsi="Times New Roman" w:eastAsia="Times New Roman" w:cs="Times New Roman"/>
                <w:color w:val="auto"/>
                <w:spacing w:val="8"/>
                <w:lang w:eastAsia="zh-CN"/>
              </w:rPr>
              <w:t>/</w:t>
            </w:r>
            <w:r>
              <w:rPr>
                <w:color w:val="auto"/>
                <w:spacing w:val="8"/>
                <w:lang w:eastAsia="zh-CN"/>
              </w:rPr>
              <w:t>同期住院患者总数</w:t>
            </w:r>
            <w:r>
              <w:rPr>
                <w:rFonts w:ascii="Times New Roman" w:hAnsi="Times New Roman" w:eastAsia="Times New Roman" w:cs="Times New Roman"/>
                <w:color w:val="auto"/>
                <w:spacing w:val="-3"/>
                <w:lang w:eastAsia="zh-CN"/>
              </w:rPr>
              <w:t>×100%</w:t>
            </w:r>
          </w:p>
        </w:tc>
        <w:tc>
          <w:tcPr>
            <w:tcW w:w="3943" w:type="dxa"/>
          </w:tcPr>
          <w:p>
            <w:pPr>
              <w:pStyle w:val="8"/>
              <w:spacing w:before="0" w:line="240" w:lineRule="exact"/>
              <w:ind w:left="53" w:right="10" w:hanging="27"/>
              <w:rPr>
                <w:color w:val="auto"/>
                <w:lang w:eastAsia="zh-CN"/>
              </w:rPr>
            </w:pPr>
            <w:r>
              <w:rPr>
                <w:color w:val="auto"/>
                <w:spacing w:val="15"/>
                <w:lang w:eastAsia="zh-CN"/>
              </w:rPr>
              <w:t>静脉使用质子泵抑制药注射剂的住院患者数</w:t>
            </w:r>
            <w:r>
              <w:rPr>
                <w:color w:val="auto"/>
                <w:spacing w:val="6"/>
                <w:lang w:eastAsia="zh-CN"/>
              </w:rPr>
              <w:t>占同期住院患者总数的比例。</w:t>
            </w:r>
          </w:p>
          <w:p>
            <w:pPr>
              <w:pStyle w:val="8"/>
              <w:spacing w:before="0" w:line="240" w:lineRule="exact"/>
              <w:ind w:left="27" w:hanging="6"/>
              <w:jc w:val="both"/>
              <w:rPr>
                <w:color w:val="auto"/>
                <w:lang w:eastAsia="zh-CN"/>
              </w:rPr>
            </w:pPr>
            <w:r>
              <w:rPr>
                <w:color w:val="auto"/>
                <w:spacing w:val="10"/>
                <w:lang w:eastAsia="zh-CN"/>
              </w:rPr>
              <w:t>说明</w:t>
            </w:r>
            <w:r>
              <w:rPr>
                <w:color w:val="auto"/>
                <w:spacing w:val="-15"/>
                <w:lang w:eastAsia="zh-CN"/>
              </w:rPr>
              <w:t>：（</w:t>
            </w:r>
            <w:r>
              <w:rPr>
                <w:rFonts w:ascii="Times New Roman" w:hAnsi="Times New Roman" w:eastAsia="Times New Roman" w:cs="Times New Roman"/>
                <w:color w:val="auto"/>
                <w:spacing w:val="10"/>
                <w:lang w:eastAsia="zh-CN"/>
              </w:rPr>
              <w:t>1</w:t>
            </w:r>
            <w:r>
              <w:rPr>
                <w:color w:val="auto"/>
                <w:spacing w:val="10"/>
                <w:lang w:eastAsia="zh-CN"/>
              </w:rPr>
              <w:t>）质子泵抑制药包括奥美拉唑、艾</w:t>
            </w:r>
            <w:r>
              <w:rPr>
                <w:color w:val="auto"/>
                <w:spacing w:val="-4"/>
                <w:lang w:eastAsia="zh-CN"/>
              </w:rPr>
              <w:t>司奥美拉唑、泮托拉唑、兰索拉唑、雷贝拉唑、</w:t>
            </w:r>
            <w:r>
              <w:rPr>
                <w:color w:val="auto"/>
                <w:spacing w:val="5"/>
                <w:lang w:eastAsia="zh-CN"/>
              </w:rPr>
              <w:t>艾普拉唑、埃索美拉唑。</w:t>
            </w:r>
          </w:p>
          <w:p>
            <w:pPr>
              <w:pStyle w:val="8"/>
              <w:spacing w:before="0" w:line="240" w:lineRule="exact"/>
              <w:ind w:left="29" w:right="10" w:hanging="11"/>
              <w:jc w:val="both"/>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）为便于统计，静脉使用质子泵抑制药注</w:t>
            </w:r>
            <w:r>
              <w:rPr>
                <w:color w:val="auto"/>
                <w:spacing w:val="15"/>
                <w:lang w:eastAsia="zh-CN"/>
              </w:rPr>
              <w:t>射剂的住院患者数和住院患者总数均以出院</w:t>
            </w:r>
            <w:r>
              <w:rPr>
                <w:color w:val="auto"/>
                <w:spacing w:val="6"/>
                <w:lang w:eastAsia="zh-CN"/>
              </w:rPr>
              <w:t>患者的人数计算。</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1269" w:type="dxa"/>
            <w:vMerge w:val="continue"/>
            <w:tcBorders>
              <w:top w:val="nil"/>
              <w:bottom w:val="nil"/>
            </w:tcBorders>
          </w:tcPr>
          <w:p>
            <w:pPr>
              <w:spacing w:line="240" w:lineRule="exact"/>
              <w:rPr>
                <w:color w:val="auto"/>
              </w:rPr>
            </w:pP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80" w:hanging="9"/>
              <w:jc w:val="both"/>
              <w:rPr>
                <w:color w:val="auto"/>
                <w:lang w:eastAsia="zh-CN"/>
              </w:rPr>
            </w:pPr>
            <w:r>
              <w:rPr>
                <w:color w:val="auto"/>
                <w:spacing w:val="7"/>
                <w:lang w:eastAsia="zh-CN"/>
              </w:rPr>
              <w:t>（十四）</w:t>
            </w:r>
            <w:r>
              <w:rPr>
                <w:color w:val="auto"/>
                <w:spacing w:val="6"/>
                <w:lang w:eastAsia="zh-CN"/>
              </w:rPr>
              <w:t>国家基本药物使用</w:t>
            </w:r>
            <w:r>
              <w:rPr>
                <w:color w:val="auto"/>
                <w:lang w:eastAsia="zh-CN"/>
              </w:rPr>
              <w:t>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47" w:firstLine="18"/>
              <w:jc w:val="both"/>
              <w:rPr>
                <w:color w:val="auto"/>
                <w:lang w:eastAsia="zh-CN"/>
              </w:rPr>
            </w:pPr>
            <w:r>
              <w:rPr>
                <w:rFonts w:ascii="Times New Roman" w:hAnsi="Times New Roman" w:eastAsia="Times New Roman" w:cs="Times New Roman"/>
                <w:color w:val="auto"/>
                <w:spacing w:val="-2"/>
                <w:lang w:eastAsia="zh-CN"/>
              </w:rPr>
              <w:t>1.</w:t>
            </w:r>
            <w:r>
              <w:rPr>
                <w:color w:val="auto"/>
                <w:spacing w:val="-2"/>
                <w:lang w:eastAsia="zh-CN"/>
              </w:rPr>
              <w:t>门诊患者</w:t>
            </w:r>
            <w:r>
              <w:rPr>
                <w:color w:val="auto"/>
                <w:spacing w:val="8"/>
                <w:lang w:eastAsia="zh-CN"/>
              </w:rPr>
              <w:t>基本药物处方占比</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2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门诊患者处方中使用基本药物</w:t>
            </w:r>
            <w:r>
              <w:rPr>
                <w:color w:val="auto"/>
                <w:spacing w:val="8"/>
                <w:lang w:eastAsia="zh-CN"/>
              </w:rPr>
              <w:t>人次数</w:t>
            </w:r>
            <w:r>
              <w:rPr>
                <w:rFonts w:ascii="Times New Roman" w:hAnsi="Times New Roman" w:eastAsia="Times New Roman" w:cs="Times New Roman"/>
                <w:color w:val="auto"/>
                <w:spacing w:val="8"/>
                <w:lang w:eastAsia="zh-CN"/>
              </w:rPr>
              <w:t>/</w:t>
            </w:r>
            <w:r>
              <w:rPr>
                <w:color w:val="auto"/>
                <w:spacing w:val="8"/>
                <w:lang w:eastAsia="zh-CN"/>
              </w:rPr>
              <w:t>同期门诊诊疗总人次数</w:t>
            </w:r>
            <w:r>
              <w:rPr>
                <w:rFonts w:ascii="Times New Roman" w:hAnsi="Times New Roman" w:eastAsia="Times New Roman" w:cs="Times New Roman"/>
                <w:color w:val="auto"/>
                <w:spacing w:val="-2"/>
                <w:lang w:eastAsia="zh-CN"/>
              </w:rPr>
              <w:t>×100%</w:t>
            </w:r>
          </w:p>
        </w:tc>
        <w:tc>
          <w:tcPr>
            <w:tcW w:w="3943" w:type="dxa"/>
          </w:tcPr>
          <w:p>
            <w:pPr>
              <w:pStyle w:val="8"/>
              <w:spacing w:before="0" w:line="240" w:lineRule="exact"/>
              <w:ind w:left="43" w:right="10"/>
              <w:rPr>
                <w:color w:val="auto"/>
                <w:lang w:eastAsia="zh-CN"/>
              </w:rPr>
            </w:pPr>
            <w:r>
              <w:rPr>
                <w:color w:val="auto"/>
                <w:spacing w:val="14"/>
                <w:lang w:eastAsia="zh-CN"/>
              </w:rPr>
              <w:t>门诊患者处方中使用基本药物人次数占同期</w:t>
            </w:r>
            <w:r>
              <w:rPr>
                <w:color w:val="auto"/>
                <w:spacing w:val="6"/>
                <w:lang w:eastAsia="zh-CN"/>
              </w:rPr>
              <w:t>门诊诊疗总人次数的比例。</w:t>
            </w:r>
          </w:p>
          <w:p>
            <w:pPr>
              <w:pStyle w:val="8"/>
              <w:spacing w:before="0" w:line="240" w:lineRule="exact"/>
              <w:ind w:left="21" w:right="10"/>
              <w:jc w:val="both"/>
              <w:rPr>
                <w:color w:val="auto"/>
                <w:lang w:eastAsia="zh-CN"/>
              </w:rPr>
            </w:pPr>
            <w:r>
              <w:rPr>
                <w:color w:val="auto"/>
                <w:spacing w:val="10"/>
                <w:lang w:eastAsia="zh-CN"/>
              </w:rPr>
              <w:t>说明</w:t>
            </w:r>
            <w:r>
              <w:rPr>
                <w:color w:val="auto"/>
                <w:spacing w:val="-16"/>
                <w:lang w:eastAsia="zh-CN"/>
              </w:rPr>
              <w:t>：（</w:t>
            </w:r>
            <w:r>
              <w:rPr>
                <w:rFonts w:ascii="Times New Roman" w:hAnsi="Times New Roman" w:eastAsia="Times New Roman" w:cs="Times New Roman"/>
                <w:color w:val="auto"/>
                <w:spacing w:val="10"/>
                <w:lang w:eastAsia="zh-CN"/>
              </w:rPr>
              <w:t>1</w:t>
            </w:r>
            <w:r>
              <w:rPr>
                <w:color w:val="auto"/>
                <w:spacing w:val="10"/>
                <w:lang w:eastAsia="zh-CN"/>
              </w:rPr>
              <w:t>）分子：门诊使用基本药物人次数</w:t>
            </w:r>
            <w:r>
              <w:rPr>
                <w:color w:val="auto"/>
                <w:spacing w:val="5"/>
                <w:lang w:eastAsia="zh-CN"/>
              </w:rPr>
              <w:t>按人数统计，同一门诊患者一次挂号就诊开具</w:t>
            </w:r>
            <w:r>
              <w:rPr>
                <w:color w:val="auto"/>
                <w:spacing w:val="6"/>
                <w:lang w:eastAsia="zh-CN"/>
              </w:rPr>
              <w:t>的处方中只要含有一种及以上基本药物，按</w:t>
            </w:r>
            <w:r>
              <w:rPr>
                <w:rFonts w:ascii="Times New Roman" w:hAnsi="Times New Roman" w:eastAsia="Times New Roman" w:cs="Times New Roman"/>
                <w:color w:val="auto"/>
                <w:spacing w:val="6"/>
                <w:lang w:eastAsia="zh-CN"/>
              </w:rPr>
              <w:t>1</w:t>
            </w:r>
            <w:r>
              <w:rPr>
                <w:color w:val="auto"/>
                <w:spacing w:val="5"/>
                <w:lang w:eastAsia="zh-CN"/>
              </w:rPr>
              <w:t>人统计。所使用的基本药物不包括仅作为药物溶媒使用的葡萄糖、氯化钠等溶液。不包括急</w:t>
            </w:r>
            <w:r>
              <w:rPr>
                <w:color w:val="auto"/>
                <w:spacing w:val="8"/>
                <w:lang w:eastAsia="zh-CN"/>
              </w:rPr>
              <w:t>诊患者、健康体检者。</w:t>
            </w:r>
          </w:p>
          <w:p>
            <w:pPr>
              <w:pStyle w:val="8"/>
              <w:spacing w:before="0" w:line="240" w:lineRule="exact"/>
              <w:ind w:left="18"/>
              <w:jc w:val="both"/>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2</w:t>
            </w:r>
            <w:r>
              <w:rPr>
                <w:color w:val="auto"/>
                <w:spacing w:val="5"/>
                <w:lang w:eastAsia="zh-CN"/>
              </w:rPr>
              <w:t>）分母：门诊诊疗总人次数即门诊患者人</w:t>
            </w:r>
            <w:r>
              <w:rPr>
                <w:color w:val="auto"/>
                <w:spacing w:val="-4"/>
                <w:lang w:eastAsia="zh-CN"/>
              </w:rPr>
              <w:t>次数，仅以门诊挂号数统计，不包括急诊患者、</w:t>
            </w:r>
            <w:r>
              <w:rPr>
                <w:color w:val="auto"/>
                <w:spacing w:val="6"/>
                <w:lang w:eastAsia="zh-CN"/>
              </w:rPr>
              <w:t>健康体检者及未开具药物处方患者。</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15" w:right="47"/>
              <w:jc w:val="both"/>
              <w:rPr>
                <w:color w:val="auto"/>
                <w:lang w:eastAsia="zh-CN"/>
              </w:rPr>
            </w:pPr>
            <w:r>
              <w:rPr>
                <w:rFonts w:ascii="Times New Roman" w:hAnsi="Times New Roman" w:eastAsia="Times New Roman" w:cs="Times New Roman"/>
                <w:color w:val="auto"/>
                <w:spacing w:val="6"/>
                <w:lang w:eastAsia="zh-CN"/>
              </w:rPr>
              <w:t>2.</w:t>
            </w:r>
            <w:r>
              <w:rPr>
                <w:color w:val="auto"/>
                <w:spacing w:val="6"/>
                <w:lang w:eastAsia="zh-CN"/>
              </w:rPr>
              <w:t>住院患者</w:t>
            </w:r>
            <w:r>
              <w:rPr>
                <w:color w:val="auto"/>
                <w:spacing w:val="8"/>
                <w:lang w:eastAsia="zh-CN"/>
              </w:rPr>
              <w:t>基本药物使</w:t>
            </w:r>
            <w:r>
              <w:rPr>
                <w:color w:val="auto"/>
                <w:spacing w:val="6"/>
                <w:lang w:eastAsia="zh-CN"/>
              </w:rPr>
              <w:t>用率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0" w:right="68"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出院患者在住院期间医嘱中使</w:t>
            </w:r>
            <w:r>
              <w:rPr>
                <w:color w:val="auto"/>
                <w:spacing w:val="8"/>
                <w:lang w:eastAsia="zh-CN"/>
              </w:rPr>
              <w:t>用基本药物的总人次数</w:t>
            </w:r>
            <w:r>
              <w:rPr>
                <w:rFonts w:ascii="Times New Roman" w:hAnsi="Times New Roman" w:eastAsia="Times New Roman" w:cs="Times New Roman"/>
                <w:color w:val="auto"/>
                <w:spacing w:val="8"/>
                <w:lang w:eastAsia="zh-CN"/>
              </w:rPr>
              <w:t>/</w:t>
            </w:r>
            <w:r>
              <w:rPr>
                <w:color w:val="auto"/>
                <w:spacing w:val="8"/>
                <w:lang w:eastAsia="zh-CN"/>
              </w:rPr>
              <w:t>同期出院</w:t>
            </w:r>
            <w:r>
              <w:rPr>
                <w:color w:val="auto"/>
                <w:spacing w:val="3"/>
                <w:lang w:eastAsia="zh-CN"/>
              </w:rPr>
              <w:t>总人次数</w:t>
            </w:r>
            <w:r>
              <w:rPr>
                <w:rFonts w:ascii="Times New Roman" w:hAnsi="Times New Roman" w:eastAsia="Times New Roman" w:cs="Times New Roman"/>
                <w:color w:val="auto"/>
                <w:spacing w:val="3"/>
                <w:lang w:eastAsia="zh-CN"/>
              </w:rPr>
              <w:t>×100%</w:t>
            </w:r>
          </w:p>
        </w:tc>
        <w:tc>
          <w:tcPr>
            <w:tcW w:w="3943" w:type="dxa"/>
          </w:tcPr>
          <w:p>
            <w:pPr>
              <w:pStyle w:val="8"/>
              <w:spacing w:before="0" w:line="240" w:lineRule="exact"/>
              <w:ind w:left="34" w:right="10" w:firstLine="12"/>
              <w:rPr>
                <w:color w:val="auto"/>
                <w:lang w:eastAsia="zh-CN"/>
              </w:rPr>
            </w:pPr>
            <w:r>
              <w:rPr>
                <w:color w:val="auto"/>
                <w:spacing w:val="14"/>
                <w:lang w:eastAsia="zh-CN"/>
              </w:rPr>
              <w:t>出院患者在住院期间医嘱中使用基本药物的</w:t>
            </w:r>
            <w:r>
              <w:rPr>
                <w:color w:val="auto"/>
                <w:spacing w:val="8"/>
                <w:lang w:eastAsia="zh-CN"/>
              </w:rPr>
              <w:t>总人次数占同期出院总人次数的比例。</w:t>
            </w:r>
          </w:p>
          <w:p>
            <w:pPr>
              <w:pStyle w:val="8"/>
              <w:spacing w:before="0" w:line="240" w:lineRule="exact"/>
              <w:ind w:left="22" w:hanging="1"/>
              <w:jc w:val="both"/>
              <w:rPr>
                <w:color w:val="auto"/>
                <w:lang w:eastAsia="zh-CN"/>
              </w:rPr>
            </w:pPr>
            <w:r>
              <w:rPr>
                <w:color w:val="auto"/>
                <w:spacing w:val="8"/>
                <w:lang w:eastAsia="zh-CN"/>
              </w:rPr>
              <w:t>说明</w:t>
            </w:r>
            <w:r>
              <w:rPr>
                <w:color w:val="auto"/>
                <w:spacing w:val="-10"/>
                <w:lang w:eastAsia="zh-CN"/>
              </w:rPr>
              <w:t>：（</w:t>
            </w:r>
            <w:r>
              <w:rPr>
                <w:rFonts w:ascii="Times New Roman" w:hAnsi="Times New Roman" w:eastAsia="Times New Roman" w:cs="Times New Roman"/>
                <w:color w:val="auto"/>
                <w:spacing w:val="8"/>
                <w:lang w:eastAsia="zh-CN"/>
              </w:rPr>
              <w:t>1</w:t>
            </w:r>
            <w:r>
              <w:rPr>
                <w:color w:val="auto"/>
                <w:spacing w:val="8"/>
                <w:lang w:eastAsia="zh-CN"/>
              </w:rPr>
              <w:t>）分子：出院患者使用基本药物总</w:t>
            </w:r>
            <w:r>
              <w:rPr>
                <w:color w:val="auto"/>
                <w:spacing w:val="3"/>
                <w:lang w:eastAsia="zh-CN"/>
              </w:rPr>
              <w:t>人次数按人数统计，同一出院患者在一次住院</w:t>
            </w:r>
            <w:r>
              <w:rPr>
                <w:color w:val="auto"/>
                <w:spacing w:val="5"/>
                <w:lang w:eastAsia="zh-CN"/>
              </w:rPr>
              <w:t>期间的医嘱中只要含有一种及以上基本药物，</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bl>
    <w:p>
      <w:pPr>
        <w:spacing w:line="240" w:lineRule="exact"/>
        <w:rPr>
          <w:color w:val="auto"/>
        </w:rPr>
      </w:pPr>
    </w:p>
    <w:p>
      <w:pPr>
        <w:spacing w:line="240" w:lineRule="exact"/>
        <w:rPr>
          <w:color w:val="auto"/>
        </w:rPr>
        <w:sectPr>
          <w:footerReference r:id="rId42"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3" w:type="dxa"/>
          </w:tcPr>
          <w:p>
            <w:pPr>
              <w:pStyle w:val="8"/>
              <w:spacing w:before="0" w:line="240" w:lineRule="exact"/>
              <w:ind w:left="22"/>
              <w:rPr>
                <w:color w:val="auto"/>
                <w:lang w:eastAsia="zh-CN"/>
              </w:rPr>
            </w:pPr>
            <w:r>
              <w:rPr>
                <w:color w:val="auto"/>
                <w:lang w:eastAsia="zh-CN"/>
              </w:rPr>
              <w:t>按</w:t>
            </w:r>
            <w:r>
              <w:rPr>
                <w:rFonts w:ascii="Times New Roman" w:hAnsi="Times New Roman" w:eastAsia="Times New Roman" w:cs="Times New Roman"/>
                <w:color w:val="auto"/>
                <w:lang w:eastAsia="zh-CN"/>
              </w:rPr>
              <w:t>1</w:t>
            </w:r>
            <w:r>
              <w:rPr>
                <w:color w:val="auto"/>
                <w:lang w:eastAsia="zh-CN"/>
              </w:rPr>
              <w:t>人统计。</w:t>
            </w:r>
          </w:p>
          <w:p>
            <w:pPr>
              <w:pStyle w:val="8"/>
              <w:spacing w:before="0" w:line="240" w:lineRule="exact"/>
              <w:ind w:left="25" w:right="62" w:hanging="7"/>
              <w:rPr>
                <w:color w:val="auto"/>
                <w:lang w:eastAsia="zh-CN"/>
              </w:rPr>
            </w:pPr>
            <w:r>
              <w:rPr>
                <w:color w:val="auto"/>
                <w:spacing w:val="5"/>
                <w:lang w:eastAsia="zh-CN"/>
              </w:rPr>
              <w:t>（</w:t>
            </w:r>
            <w:r>
              <w:rPr>
                <w:rFonts w:ascii="Times New Roman" w:hAnsi="Times New Roman" w:eastAsia="Times New Roman" w:cs="Times New Roman"/>
                <w:color w:val="auto"/>
                <w:spacing w:val="5"/>
                <w:lang w:eastAsia="zh-CN"/>
              </w:rPr>
              <w:t>2</w:t>
            </w:r>
            <w:r>
              <w:rPr>
                <w:color w:val="auto"/>
                <w:spacing w:val="5"/>
                <w:lang w:eastAsia="zh-CN"/>
              </w:rPr>
              <w:t>）分母：同期出院总人次数即出院人数，</w:t>
            </w:r>
            <w:r>
              <w:rPr>
                <w:color w:val="auto"/>
                <w:spacing w:val="8"/>
                <w:lang w:eastAsia="zh-CN"/>
              </w:rPr>
              <w:t>不包括出院患者在住院期间未使用药物者。</w:t>
            </w:r>
          </w:p>
          <w:p>
            <w:pPr>
              <w:pStyle w:val="8"/>
              <w:spacing w:before="0" w:line="240" w:lineRule="exact"/>
              <w:ind w:left="21" w:firstLine="4"/>
              <w:rPr>
                <w:color w:val="auto"/>
                <w:lang w:eastAsia="zh-CN"/>
              </w:rPr>
            </w:pPr>
            <w:r>
              <w:rPr>
                <w:color w:val="auto"/>
                <w:spacing w:val="3"/>
                <w:lang w:eastAsia="zh-CN"/>
              </w:rPr>
              <w:t>注：住院期间医嘱（含出院带药）所使用的基</w:t>
            </w:r>
            <w:r>
              <w:rPr>
                <w:color w:val="auto"/>
                <w:spacing w:val="5"/>
                <w:lang w:eastAsia="zh-CN"/>
              </w:rPr>
              <w:t>本药物不包括仅作为药物溶媒使用的葡萄糖、</w:t>
            </w:r>
            <w:r>
              <w:rPr>
                <w:color w:val="auto"/>
                <w:spacing w:val="6"/>
                <w:lang w:eastAsia="zh-CN"/>
              </w:rPr>
              <w:t>氯化钠等溶液。</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1269" w:type="dxa"/>
            <w:vMerge w:val="continue"/>
            <w:tcBorders>
              <w:top w:val="nil"/>
            </w:tcBorders>
          </w:tcPr>
          <w:p>
            <w:pPr>
              <w:spacing w:line="240" w:lineRule="exact"/>
              <w:rPr>
                <w:color w:val="auto"/>
                <w:lang w:eastAsia="zh-CN"/>
              </w:rPr>
            </w:pPr>
          </w:p>
        </w:tc>
        <w:tc>
          <w:tcPr>
            <w:tcW w:w="895" w:type="dxa"/>
            <w:vMerge w:val="continue"/>
            <w:tcBorders>
              <w:top w:val="nil"/>
            </w:tcBorders>
          </w:tcPr>
          <w:p>
            <w:pPr>
              <w:spacing w:line="240" w:lineRule="exact"/>
              <w:rPr>
                <w:color w:val="auto"/>
                <w:lang w:eastAsia="zh-CN"/>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47"/>
              <w:jc w:val="both"/>
              <w:rPr>
                <w:color w:val="auto"/>
                <w:lang w:eastAsia="zh-CN"/>
              </w:rPr>
            </w:pPr>
            <w:r>
              <w:rPr>
                <w:rFonts w:ascii="Times New Roman" w:hAnsi="Times New Roman" w:eastAsia="Times New Roman" w:cs="Times New Roman"/>
                <w:color w:val="auto"/>
                <w:spacing w:val="6"/>
                <w:lang w:eastAsia="zh-CN"/>
              </w:rPr>
              <w:t>3.</w:t>
            </w:r>
            <w:r>
              <w:rPr>
                <w:color w:val="auto"/>
                <w:spacing w:val="6"/>
                <w:lang w:eastAsia="zh-CN"/>
              </w:rPr>
              <w:t>基本药物</w:t>
            </w:r>
            <w:r>
              <w:rPr>
                <w:color w:val="auto"/>
                <w:spacing w:val="8"/>
                <w:lang w:eastAsia="zh-CN"/>
              </w:rPr>
              <w:t>采购品种数</w:t>
            </w:r>
            <w:r>
              <w:rPr>
                <w:color w:val="auto"/>
                <w:spacing w:val="5"/>
                <w:lang w:eastAsia="zh-CN"/>
              </w:rPr>
              <w:t>占比</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43" w:right="153" w:hanging="27"/>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医院采购国家基本药物品种数</w:t>
            </w:r>
            <w:r>
              <w:rPr>
                <w:rFonts w:ascii="Times New Roman" w:hAnsi="Times New Roman" w:eastAsia="Times New Roman" w:cs="Times New Roman"/>
                <w:color w:val="auto"/>
                <w:spacing w:val="8"/>
                <w:lang w:eastAsia="zh-CN"/>
              </w:rPr>
              <w:t>/</w:t>
            </w:r>
            <w:r>
              <w:rPr>
                <w:color w:val="auto"/>
                <w:spacing w:val="7"/>
                <w:lang w:eastAsia="zh-CN"/>
              </w:rPr>
              <w:t>医院同期采购药物品种总数</w:t>
            </w:r>
          </w:p>
          <w:p>
            <w:pPr>
              <w:spacing w:line="240" w:lineRule="exact"/>
              <w:ind w:left="28"/>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position w:val="2"/>
                <w:sz w:val="19"/>
                <w:szCs w:val="19"/>
              </w:rPr>
              <w:t>×100%</w:t>
            </w:r>
          </w:p>
        </w:tc>
        <w:tc>
          <w:tcPr>
            <w:tcW w:w="3943" w:type="dxa"/>
          </w:tcPr>
          <w:p>
            <w:pPr>
              <w:pStyle w:val="8"/>
              <w:spacing w:before="0" w:line="240" w:lineRule="exact"/>
              <w:ind w:left="24" w:right="10" w:firstLine="20"/>
              <w:rPr>
                <w:color w:val="auto"/>
                <w:lang w:eastAsia="zh-CN"/>
              </w:rPr>
            </w:pPr>
            <w:r>
              <w:rPr>
                <w:color w:val="auto"/>
                <w:spacing w:val="14"/>
                <w:lang w:eastAsia="zh-CN"/>
              </w:rPr>
              <w:t>医院采购国家基本药物品种数占医院同期采</w:t>
            </w:r>
            <w:r>
              <w:rPr>
                <w:color w:val="auto"/>
                <w:spacing w:val="7"/>
                <w:lang w:eastAsia="zh-CN"/>
              </w:rPr>
              <w:t>购药物品种总数的比例。</w:t>
            </w:r>
          </w:p>
          <w:p>
            <w:pPr>
              <w:pStyle w:val="8"/>
              <w:spacing w:before="0" w:line="240" w:lineRule="exact"/>
              <w:ind w:left="18" w:right="10" w:firstLine="3"/>
              <w:jc w:val="both"/>
              <w:rPr>
                <w:color w:val="auto"/>
                <w:lang w:eastAsia="zh-CN"/>
              </w:rPr>
            </w:pPr>
            <w:r>
              <w:rPr>
                <w:color w:val="auto"/>
                <w:spacing w:val="10"/>
                <w:lang w:eastAsia="zh-CN"/>
              </w:rPr>
              <w:t>说明</w:t>
            </w:r>
            <w:r>
              <w:rPr>
                <w:color w:val="auto"/>
                <w:spacing w:val="-16"/>
                <w:lang w:eastAsia="zh-CN"/>
              </w:rPr>
              <w:t>：（</w:t>
            </w:r>
            <w:r>
              <w:rPr>
                <w:rFonts w:ascii="Times New Roman" w:hAnsi="Times New Roman" w:eastAsia="Times New Roman" w:cs="Times New Roman"/>
                <w:color w:val="auto"/>
                <w:spacing w:val="10"/>
                <w:lang w:eastAsia="zh-CN"/>
              </w:rPr>
              <w:t>1</w:t>
            </w:r>
            <w:r>
              <w:rPr>
                <w:color w:val="auto"/>
                <w:spacing w:val="10"/>
                <w:lang w:eastAsia="zh-CN"/>
              </w:rPr>
              <w:t>）分子：医院采购基本药物品种数</w:t>
            </w:r>
            <w:r>
              <w:rPr>
                <w:color w:val="auto"/>
                <w:spacing w:val="5"/>
                <w:lang w:eastAsia="zh-CN"/>
              </w:rPr>
              <w:t>依据医院使用基本药物品种总数进行统计，按</w:t>
            </w:r>
            <w:r>
              <w:rPr>
                <w:color w:val="auto"/>
                <w:spacing w:val="9"/>
                <w:lang w:eastAsia="zh-CN"/>
              </w:rPr>
              <w:t>照药品通用名、规格、剂型分别统计。</w:t>
            </w:r>
          </w:p>
          <w:p>
            <w:pPr>
              <w:pStyle w:val="8"/>
              <w:spacing w:before="0" w:line="240" w:lineRule="exact"/>
              <w:ind w:left="18" w:right="7"/>
              <w:jc w:val="both"/>
              <w:rPr>
                <w:color w:val="auto"/>
                <w:lang w:eastAsia="zh-CN"/>
              </w:rPr>
            </w:pPr>
            <w:r>
              <w:rPr>
                <w:color w:val="auto"/>
                <w:spacing w:val="7"/>
                <w:lang w:eastAsia="zh-CN"/>
              </w:rPr>
              <w:t>（</w:t>
            </w:r>
            <w:r>
              <w:rPr>
                <w:rFonts w:ascii="Times New Roman" w:hAnsi="Times New Roman" w:eastAsia="Times New Roman" w:cs="Times New Roman"/>
                <w:color w:val="auto"/>
                <w:spacing w:val="7"/>
                <w:lang w:eastAsia="zh-CN"/>
              </w:rPr>
              <w:t>2</w:t>
            </w:r>
            <w:r>
              <w:rPr>
                <w:color w:val="auto"/>
                <w:spacing w:val="7"/>
                <w:lang w:eastAsia="zh-CN"/>
              </w:rPr>
              <w:t>）分母：医院同期采购药品品种总数依据</w:t>
            </w:r>
            <w:r>
              <w:rPr>
                <w:color w:val="auto"/>
                <w:spacing w:val="15"/>
                <w:lang w:eastAsia="zh-CN"/>
              </w:rPr>
              <w:t>医院使用药品品种总数统计，按照药品通用</w:t>
            </w:r>
            <w:r>
              <w:rPr>
                <w:color w:val="auto"/>
                <w:spacing w:val="5"/>
                <w:lang w:eastAsia="zh-CN"/>
              </w:rPr>
              <w:t>名、规格、剂型分别统计。不包括出院患者在</w:t>
            </w:r>
            <w:r>
              <w:rPr>
                <w:color w:val="auto"/>
                <w:spacing w:val="8"/>
                <w:lang w:eastAsia="zh-CN"/>
              </w:rPr>
              <w:t>住院期间未使用药物者。</w:t>
            </w:r>
          </w:p>
          <w:p>
            <w:pPr>
              <w:pStyle w:val="8"/>
              <w:spacing w:before="0" w:line="240" w:lineRule="exact"/>
              <w:ind w:left="21" w:right="10" w:firstLine="4"/>
              <w:rPr>
                <w:color w:val="auto"/>
                <w:lang w:eastAsia="zh-CN"/>
              </w:rPr>
            </w:pPr>
            <w:r>
              <w:rPr>
                <w:color w:val="auto"/>
                <w:spacing w:val="5"/>
                <w:lang w:eastAsia="zh-CN"/>
              </w:rPr>
              <w:t>注：所使用的基本药物均不包括仅作为药物溶</w:t>
            </w:r>
            <w:r>
              <w:rPr>
                <w:color w:val="auto"/>
                <w:spacing w:val="8"/>
                <w:lang w:eastAsia="zh-CN"/>
              </w:rPr>
              <w:t>媒使用的葡萄糖、氯化钠等溶液。</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1269" w:type="dxa"/>
            <w:tcBorders>
              <w:bottom w:val="nil"/>
            </w:tcBorders>
          </w:tcPr>
          <w:p>
            <w:pPr>
              <w:pStyle w:val="8"/>
              <w:spacing w:before="0" w:line="240" w:lineRule="exact"/>
              <w:ind w:left="25" w:right="15" w:firstLine="2"/>
              <w:jc w:val="both"/>
              <w:rPr>
                <w:color w:val="auto"/>
                <w:lang w:eastAsia="zh-CN"/>
              </w:rPr>
            </w:pPr>
            <w:r>
              <w:rPr>
                <w:color w:val="auto"/>
                <w:spacing w:val="13"/>
                <w:lang w:eastAsia="zh-CN"/>
              </w:rPr>
              <w:t>七、病案管理专业医疗质量</w:t>
            </w:r>
            <w:r>
              <w:rPr>
                <w:color w:val="auto"/>
                <w:spacing w:val="7"/>
                <w:lang w:eastAsia="zh-CN"/>
              </w:rPr>
              <w:t>控制指标</w:t>
            </w:r>
          </w:p>
        </w:tc>
        <w:tc>
          <w:tcPr>
            <w:tcW w:w="895" w:type="dxa"/>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2" w:right="80" w:hanging="7"/>
              <w:jc w:val="both"/>
              <w:rPr>
                <w:color w:val="auto"/>
                <w:lang w:eastAsia="zh-CN"/>
              </w:rPr>
            </w:pPr>
            <w:r>
              <w:rPr>
                <w:color w:val="auto"/>
                <w:spacing w:val="-4"/>
                <w:lang w:eastAsia="zh-CN"/>
              </w:rPr>
              <w:t>（一）人</w:t>
            </w:r>
            <w:r>
              <w:rPr>
                <w:color w:val="auto"/>
                <w:spacing w:val="6"/>
                <w:lang w:eastAsia="zh-CN"/>
              </w:rPr>
              <w:t>力资源配置指标</w:t>
            </w:r>
          </w:p>
        </w:tc>
        <w:tc>
          <w:tcPr>
            <w:tcW w:w="106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4" w:firstLine="14"/>
              <w:jc w:val="both"/>
              <w:rPr>
                <w:color w:val="auto"/>
                <w:lang w:eastAsia="zh-CN"/>
              </w:rPr>
            </w:pPr>
            <w:r>
              <w:rPr>
                <w:rFonts w:ascii="Times New Roman" w:hAnsi="Times New Roman" w:eastAsia="Times New Roman" w:cs="Times New Roman"/>
                <w:color w:val="auto"/>
                <w:spacing w:val="12"/>
                <w:lang w:eastAsia="zh-CN"/>
              </w:rPr>
              <w:t>1.</w:t>
            </w:r>
            <w:r>
              <w:rPr>
                <w:color w:val="auto"/>
                <w:spacing w:val="12"/>
                <w:lang w:eastAsia="zh-CN"/>
              </w:rPr>
              <w:t>住院病案</w:t>
            </w:r>
            <w:r>
              <w:rPr>
                <w:color w:val="auto"/>
                <w:spacing w:val="14"/>
                <w:lang w:eastAsia="zh-CN"/>
              </w:rPr>
              <w:t>管理人员月均负担出院</w:t>
            </w:r>
            <w:r>
              <w:rPr>
                <w:color w:val="auto"/>
                <w:spacing w:val="7"/>
                <w:lang w:eastAsia="zh-CN"/>
              </w:rPr>
              <w:t>患者病历数</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4"/>
              <w:rPr>
                <w:color w:val="auto"/>
              </w:rPr>
            </w:pPr>
            <w:r>
              <w:rPr>
                <w:color w:val="auto"/>
                <w:spacing w:val="6"/>
                <w:position w:val="1"/>
              </w:rPr>
              <w:t>份</w:t>
            </w:r>
            <w:r>
              <w:rPr>
                <w:rFonts w:ascii="Times New Roman" w:hAnsi="Times New Roman" w:eastAsia="Times New Roman" w:cs="Times New Roman"/>
                <w:color w:val="auto"/>
                <w:spacing w:val="6"/>
                <w:position w:val="1"/>
              </w:rPr>
              <w:t>/</w:t>
            </w:r>
            <w:r>
              <w:rPr>
                <w:color w:val="auto"/>
                <w:spacing w:val="6"/>
                <w:position w:val="1"/>
              </w:rPr>
              <w:t>人月</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156" w:hanging="8"/>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出院患者病历总数</w:t>
            </w:r>
            <w:r>
              <w:rPr>
                <w:rFonts w:ascii="Times New Roman" w:hAnsi="Times New Roman" w:eastAsia="Times New Roman" w:cs="Times New Roman"/>
                <w:color w:val="auto"/>
                <w:spacing w:val="8"/>
                <w:lang w:eastAsia="zh-CN"/>
              </w:rPr>
              <w:t>/</w:t>
            </w:r>
            <w:r>
              <w:rPr>
                <w:color w:val="auto"/>
                <w:spacing w:val="8"/>
                <w:lang w:eastAsia="zh-CN"/>
              </w:rPr>
              <w:t>同期住院病案管理人员实际工作总月数</w:t>
            </w:r>
          </w:p>
        </w:tc>
        <w:tc>
          <w:tcPr>
            <w:tcW w:w="3943" w:type="dxa"/>
          </w:tcPr>
          <w:p>
            <w:pPr>
              <w:pStyle w:val="8"/>
              <w:spacing w:before="0" w:line="240" w:lineRule="exact"/>
              <w:ind w:left="31" w:right="12" w:hanging="5"/>
              <w:rPr>
                <w:color w:val="auto"/>
                <w:lang w:eastAsia="zh-CN"/>
              </w:rPr>
            </w:pPr>
            <w:r>
              <w:rPr>
                <w:color w:val="auto"/>
                <w:spacing w:val="4"/>
                <w:lang w:eastAsia="zh-CN"/>
              </w:rPr>
              <w:t>单位时间内，每名住院病案管理人员每月平均</w:t>
            </w:r>
            <w:r>
              <w:rPr>
                <w:color w:val="auto"/>
                <w:spacing w:val="7"/>
                <w:lang w:eastAsia="zh-CN"/>
              </w:rPr>
              <w:t>负担的出院患者病历数。</w:t>
            </w:r>
          </w:p>
          <w:p>
            <w:pPr>
              <w:pStyle w:val="8"/>
              <w:spacing w:before="0" w:line="240" w:lineRule="exact"/>
              <w:ind w:left="24" w:right="10" w:hanging="3"/>
              <w:jc w:val="both"/>
              <w:rPr>
                <w:color w:val="auto"/>
                <w:lang w:eastAsia="zh-CN"/>
              </w:rPr>
            </w:pPr>
            <w:r>
              <w:rPr>
                <w:color w:val="auto"/>
                <w:spacing w:val="12"/>
                <w:lang w:eastAsia="zh-CN"/>
              </w:rPr>
              <w:t>说明</w:t>
            </w:r>
            <w:r>
              <w:rPr>
                <w:color w:val="auto"/>
                <w:spacing w:val="-17"/>
                <w:lang w:eastAsia="zh-CN"/>
              </w:rPr>
              <w:t>：（</w:t>
            </w:r>
            <w:r>
              <w:rPr>
                <w:rFonts w:ascii="Times New Roman" w:hAnsi="Times New Roman" w:eastAsia="Times New Roman" w:cs="Times New Roman"/>
                <w:color w:val="auto"/>
                <w:spacing w:val="12"/>
                <w:lang w:eastAsia="zh-CN"/>
              </w:rPr>
              <w:t>1</w:t>
            </w:r>
            <w:r>
              <w:rPr>
                <w:color w:val="auto"/>
                <w:spacing w:val="12"/>
                <w:lang w:eastAsia="zh-CN"/>
              </w:rPr>
              <w:t>）住院病案管理人员是指专职从事</w:t>
            </w:r>
            <w:r>
              <w:rPr>
                <w:color w:val="auto"/>
                <w:spacing w:val="5"/>
                <w:lang w:eastAsia="zh-CN"/>
              </w:rPr>
              <w:t>住院病历回收、整理、扫描、装订、归档、复印、借阅、编码、统计及质量控制等工作的人</w:t>
            </w:r>
            <w:r>
              <w:rPr>
                <w:color w:val="auto"/>
                <w:spacing w:val="-2"/>
                <w:lang w:eastAsia="zh-CN"/>
              </w:rPr>
              <w:t>员。</w:t>
            </w:r>
          </w:p>
          <w:p>
            <w:pPr>
              <w:pStyle w:val="8"/>
              <w:spacing w:before="0" w:line="240" w:lineRule="exact"/>
              <w:ind w:left="26" w:right="27" w:hanging="8"/>
              <w:rPr>
                <w:color w:val="auto"/>
                <w:lang w:eastAsia="zh-CN"/>
              </w:rPr>
            </w:pPr>
            <w:r>
              <w:rPr>
                <w:color w:val="auto"/>
                <w:spacing w:val="9"/>
                <w:lang w:eastAsia="zh-CN"/>
              </w:rPr>
              <w:t>（</w:t>
            </w:r>
            <w:r>
              <w:rPr>
                <w:rFonts w:ascii="Times New Roman" w:hAnsi="Times New Roman" w:eastAsia="Times New Roman" w:cs="Times New Roman"/>
                <w:color w:val="auto"/>
                <w:spacing w:val="9"/>
                <w:lang w:eastAsia="zh-CN"/>
              </w:rPr>
              <w:t>2</w:t>
            </w:r>
            <w:r>
              <w:rPr>
                <w:color w:val="auto"/>
                <w:spacing w:val="9"/>
                <w:lang w:eastAsia="zh-CN"/>
              </w:rPr>
              <w:t>）实际工作总月数等于每名工作人员实际</w:t>
            </w:r>
            <w:r>
              <w:rPr>
                <w:color w:val="auto"/>
                <w:spacing w:val="7"/>
                <w:lang w:eastAsia="zh-CN"/>
              </w:rPr>
              <w:t>工作月数的总和（下同）。</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bl>
    <w:p>
      <w:pPr>
        <w:spacing w:line="240" w:lineRule="exact"/>
        <w:rPr>
          <w:color w:val="auto"/>
        </w:rPr>
      </w:pPr>
    </w:p>
    <w:p>
      <w:pPr>
        <w:spacing w:line="240" w:lineRule="exact"/>
        <w:rPr>
          <w:color w:val="auto"/>
        </w:rPr>
        <w:sectPr>
          <w:footerReference r:id="rId43"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4" w:hanging="4"/>
              <w:jc w:val="both"/>
              <w:rPr>
                <w:color w:val="auto"/>
                <w:lang w:eastAsia="zh-CN"/>
              </w:rPr>
            </w:pPr>
            <w:r>
              <w:rPr>
                <w:rFonts w:ascii="Times New Roman" w:hAnsi="Times New Roman" w:eastAsia="Times New Roman" w:cs="Times New Roman"/>
                <w:color w:val="auto"/>
                <w:spacing w:val="11"/>
                <w:lang w:eastAsia="zh-CN"/>
              </w:rPr>
              <w:t>2.</w:t>
            </w:r>
            <w:r>
              <w:rPr>
                <w:color w:val="auto"/>
                <w:spacing w:val="11"/>
                <w:lang w:eastAsia="zh-CN"/>
              </w:rPr>
              <w:t>门诊病案</w:t>
            </w:r>
            <w:r>
              <w:rPr>
                <w:color w:val="auto"/>
                <w:spacing w:val="14"/>
                <w:lang w:eastAsia="zh-CN"/>
              </w:rPr>
              <w:t>管理人员月均负担门诊</w:t>
            </w:r>
            <w:r>
              <w:rPr>
                <w:color w:val="auto"/>
                <w:spacing w:val="7"/>
                <w:lang w:eastAsia="zh-CN"/>
              </w:rPr>
              <w:t>患者病历数</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4"/>
              <w:rPr>
                <w:color w:val="auto"/>
              </w:rPr>
            </w:pPr>
            <w:r>
              <w:rPr>
                <w:color w:val="auto"/>
                <w:spacing w:val="6"/>
                <w:position w:val="1"/>
              </w:rPr>
              <w:t>份</w:t>
            </w:r>
            <w:r>
              <w:rPr>
                <w:rFonts w:ascii="Times New Roman" w:hAnsi="Times New Roman" w:eastAsia="Times New Roman" w:cs="Times New Roman"/>
                <w:color w:val="auto"/>
                <w:spacing w:val="6"/>
                <w:position w:val="1"/>
              </w:rPr>
              <w:t>/</w:t>
            </w:r>
            <w:r>
              <w:rPr>
                <w:color w:val="auto"/>
                <w:spacing w:val="6"/>
                <w:position w:val="1"/>
              </w:rPr>
              <w:t>人月</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156" w:hanging="8"/>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门诊患者病历总数</w:t>
            </w:r>
            <w:r>
              <w:rPr>
                <w:rFonts w:ascii="Times New Roman" w:hAnsi="Times New Roman" w:eastAsia="Times New Roman" w:cs="Times New Roman"/>
                <w:color w:val="auto"/>
                <w:spacing w:val="8"/>
                <w:lang w:eastAsia="zh-CN"/>
              </w:rPr>
              <w:t>/</w:t>
            </w:r>
            <w:r>
              <w:rPr>
                <w:color w:val="auto"/>
                <w:spacing w:val="8"/>
                <w:lang w:eastAsia="zh-CN"/>
              </w:rPr>
              <w:t>同期门诊病案管理人员实际工作总月数</w:t>
            </w:r>
          </w:p>
        </w:tc>
        <w:tc>
          <w:tcPr>
            <w:tcW w:w="3943" w:type="dxa"/>
          </w:tcPr>
          <w:p>
            <w:pPr>
              <w:spacing w:line="240" w:lineRule="exact"/>
              <w:rPr>
                <w:color w:val="auto"/>
                <w:lang w:eastAsia="zh-CN"/>
              </w:rPr>
            </w:pPr>
          </w:p>
          <w:p>
            <w:pPr>
              <w:pStyle w:val="8"/>
              <w:spacing w:before="0" w:line="240" w:lineRule="exact"/>
              <w:ind w:left="31" w:right="12" w:hanging="5"/>
              <w:rPr>
                <w:color w:val="auto"/>
                <w:lang w:eastAsia="zh-CN"/>
              </w:rPr>
            </w:pPr>
            <w:r>
              <w:rPr>
                <w:color w:val="auto"/>
                <w:spacing w:val="4"/>
                <w:lang w:eastAsia="zh-CN"/>
              </w:rPr>
              <w:t>单位时间内，每名门诊病案管理人员每月平均</w:t>
            </w:r>
            <w:r>
              <w:rPr>
                <w:color w:val="auto"/>
                <w:spacing w:val="7"/>
                <w:lang w:eastAsia="zh-CN"/>
              </w:rPr>
              <w:t>负担的门诊患者病历数。</w:t>
            </w:r>
          </w:p>
          <w:p>
            <w:pPr>
              <w:pStyle w:val="8"/>
              <w:spacing w:before="0" w:line="240" w:lineRule="exact"/>
              <w:ind w:left="21"/>
              <w:jc w:val="both"/>
              <w:rPr>
                <w:color w:val="auto"/>
                <w:lang w:eastAsia="zh-CN"/>
              </w:rPr>
            </w:pPr>
            <w:r>
              <w:rPr>
                <w:color w:val="auto"/>
                <w:spacing w:val="7"/>
                <w:lang w:eastAsia="zh-CN"/>
              </w:rPr>
              <w:t>说明</w:t>
            </w:r>
            <w:r>
              <w:rPr>
                <w:color w:val="auto"/>
                <w:spacing w:val="-18"/>
                <w:lang w:eastAsia="zh-CN"/>
              </w:rPr>
              <w:t>：（</w:t>
            </w:r>
            <w:r>
              <w:rPr>
                <w:rFonts w:ascii="Times New Roman" w:hAnsi="Times New Roman" w:eastAsia="Times New Roman" w:cs="Times New Roman"/>
                <w:color w:val="auto"/>
                <w:spacing w:val="7"/>
                <w:lang w:eastAsia="zh-CN"/>
              </w:rPr>
              <w:t>1</w:t>
            </w:r>
            <w:r>
              <w:rPr>
                <w:color w:val="auto"/>
                <w:spacing w:val="7"/>
                <w:lang w:eastAsia="zh-CN"/>
              </w:rPr>
              <w:t>）门诊病案管理人员是指专职从事</w:t>
            </w:r>
            <w:r>
              <w:rPr>
                <w:color w:val="auto"/>
                <w:spacing w:val="-4"/>
                <w:lang w:eastAsia="zh-CN"/>
              </w:rPr>
              <w:t>门诊病案资料整理、装订、归档、复印、借阅、</w:t>
            </w:r>
            <w:r>
              <w:rPr>
                <w:color w:val="auto"/>
                <w:spacing w:val="6"/>
                <w:lang w:eastAsia="zh-CN"/>
              </w:rPr>
              <w:t>编码、统计及质量控制等工作人员。</w:t>
            </w:r>
          </w:p>
          <w:p>
            <w:pPr>
              <w:pStyle w:val="8"/>
              <w:spacing w:before="0" w:line="240" w:lineRule="exact"/>
              <w:ind w:left="22" w:right="27" w:hanging="4"/>
              <w:rPr>
                <w:color w:val="auto"/>
                <w:lang w:eastAsia="zh-CN"/>
              </w:rPr>
            </w:pPr>
            <w:r>
              <w:rPr>
                <w:color w:val="auto"/>
                <w:spacing w:val="7"/>
                <w:lang w:eastAsia="zh-CN"/>
              </w:rPr>
              <w:t>（</w:t>
            </w:r>
            <w:r>
              <w:rPr>
                <w:rFonts w:ascii="Times New Roman" w:hAnsi="Times New Roman" w:eastAsia="Times New Roman" w:cs="Times New Roman"/>
                <w:color w:val="auto"/>
                <w:spacing w:val="7"/>
                <w:lang w:eastAsia="zh-CN"/>
              </w:rPr>
              <w:t>2</w:t>
            </w:r>
            <w:r>
              <w:rPr>
                <w:color w:val="auto"/>
                <w:spacing w:val="7"/>
                <w:lang w:eastAsia="zh-CN"/>
              </w:rPr>
              <w:t>）门诊患者病历总数按同期门诊实际诊疗</w:t>
            </w:r>
            <w:r>
              <w:rPr>
                <w:color w:val="auto"/>
                <w:spacing w:val="5"/>
                <w:lang w:eastAsia="zh-CN"/>
              </w:rPr>
              <w:t>人次计算。</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 w:right="14" w:hanging="1"/>
              <w:jc w:val="both"/>
              <w:rPr>
                <w:color w:val="auto"/>
                <w:lang w:eastAsia="zh-CN"/>
              </w:rPr>
            </w:pPr>
            <w:r>
              <w:rPr>
                <w:rFonts w:ascii="Times New Roman" w:hAnsi="Times New Roman" w:eastAsia="Times New Roman" w:cs="Times New Roman"/>
                <w:color w:val="auto"/>
                <w:spacing w:val="15"/>
                <w:lang w:eastAsia="zh-CN"/>
              </w:rPr>
              <w:t>3.</w:t>
            </w:r>
            <w:r>
              <w:rPr>
                <w:color w:val="auto"/>
                <w:spacing w:val="15"/>
                <w:lang w:eastAsia="zh-CN"/>
              </w:rPr>
              <w:t>病案编码</w:t>
            </w:r>
            <w:r>
              <w:rPr>
                <w:color w:val="auto"/>
                <w:spacing w:val="14"/>
                <w:lang w:eastAsia="zh-CN"/>
              </w:rPr>
              <w:t>人员月均负担出院患者</w:t>
            </w:r>
            <w:r>
              <w:rPr>
                <w:color w:val="auto"/>
                <w:spacing w:val="6"/>
                <w:lang w:eastAsia="zh-CN"/>
              </w:rPr>
              <w:t>病历数</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4"/>
              <w:rPr>
                <w:color w:val="auto"/>
              </w:rPr>
            </w:pPr>
            <w:r>
              <w:rPr>
                <w:color w:val="auto"/>
                <w:spacing w:val="6"/>
                <w:position w:val="1"/>
              </w:rPr>
              <w:t>份</w:t>
            </w:r>
            <w:r>
              <w:rPr>
                <w:rFonts w:ascii="Times New Roman" w:hAnsi="Times New Roman" w:eastAsia="Times New Roman" w:cs="Times New Roman"/>
                <w:color w:val="auto"/>
                <w:spacing w:val="6"/>
                <w:position w:val="1"/>
              </w:rPr>
              <w:t>/</w:t>
            </w:r>
            <w:r>
              <w:rPr>
                <w:color w:val="auto"/>
                <w:spacing w:val="6"/>
                <w:position w:val="1"/>
              </w:rPr>
              <w:t>人月</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3" w:right="156" w:hanging="7"/>
              <w:rPr>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出院患者病历总数</w:t>
            </w:r>
            <w:r>
              <w:rPr>
                <w:rFonts w:ascii="Times New Roman" w:hAnsi="Times New Roman" w:eastAsia="Times New Roman" w:cs="Times New Roman"/>
                <w:color w:val="auto"/>
                <w:spacing w:val="8"/>
                <w:lang w:eastAsia="zh-CN"/>
              </w:rPr>
              <w:t>/</w:t>
            </w:r>
            <w:r>
              <w:rPr>
                <w:color w:val="auto"/>
                <w:spacing w:val="8"/>
                <w:lang w:eastAsia="zh-CN"/>
              </w:rPr>
              <w:t>同期病案编码人员实际工作总月数</w:t>
            </w:r>
          </w:p>
        </w:tc>
        <w:tc>
          <w:tcPr>
            <w:tcW w:w="3943" w:type="dxa"/>
          </w:tcPr>
          <w:p>
            <w:pPr>
              <w:spacing w:line="240" w:lineRule="exact"/>
              <w:rPr>
                <w:color w:val="auto"/>
                <w:lang w:eastAsia="zh-CN"/>
              </w:rPr>
            </w:pPr>
          </w:p>
          <w:p>
            <w:pPr>
              <w:pStyle w:val="8"/>
              <w:spacing w:before="0" w:line="240" w:lineRule="exact"/>
              <w:ind w:left="38" w:right="12" w:hanging="12"/>
              <w:rPr>
                <w:color w:val="auto"/>
                <w:lang w:eastAsia="zh-CN"/>
              </w:rPr>
            </w:pPr>
            <w:r>
              <w:rPr>
                <w:color w:val="auto"/>
                <w:spacing w:val="4"/>
                <w:lang w:eastAsia="zh-CN"/>
              </w:rPr>
              <w:t>单位时间内，每名病案编码人员每月平均负担</w:t>
            </w:r>
            <w:r>
              <w:rPr>
                <w:color w:val="auto"/>
                <w:spacing w:val="5"/>
                <w:lang w:eastAsia="zh-CN"/>
              </w:rPr>
              <w:t>的出院患者病历数。</w:t>
            </w:r>
          </w:p>
          <w:p>
            <w:pPr>
              <w:pStyle w:val="8"/>
              <w:spacing w:before="0" w:line="240" w:lineRule="exact"/>
              <w:ind w:left="20" w:right="10"/>
              <w:jc w:val="both"/>
              <w:rPr>
                <w:color w:val="auto"/>
                <w:lang w:eastAsia="zh-CN"/>
              </w:rPr>
            </w:pPr>
            <w:r>
              <w:rPr>
                <w:color w:val="auto"/>
                <w:spacing w:val="5"/>
                <w:lang w:eastAsia="zh-CN"/>
              </w:rPr>
              <w:t>说明：病案编码人员是指对出院病历病案首页各数据项进行信息录入，包括对疾病、手术操</w:t>
            </w:r>
            <w:r>
              <w:rPr>
                <w:color w:val="auto"/>
                <w:spacing w:val="9"/>
                <w:lang w:eastAsia="zh-CN"/>
              </w:rPr>
              <w:t>作信息进行</w:t>
            </w:r>
            <w:r>
              <w:rPr>
                <w:rFonts w:ascii="Times New Roman" w:hAnsi="Times New Roman" w:eastAsia="Times New Roman" w:cs="Times New Roman"/>
                <w:color w:val="auto"/>
                <w:lang w:eastAsia="zh-CN"/>
              </w:rPr>
              <w:t>ICD</w:t>
            </w:r>
            <w:r>
              <w:rPr>
                <w:color w:val="auto"/>
                <w:spacing w:val="9"/>
                <w:lang w:eastAsia="zh-CN"/>
              </w:rPr>
              <w:t>编码及审核等工作的专业技</w:t>
            </w:r>
            <w:r>
              <w:rPr>
                <w:color w:val="auto"/>
                <w:spacing w:val="5"/>
                <w:lang w:eastAsia="zh-CN"/>
              </w:rPr>
              <w:t>术人员。</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1269" w:type="dxa"/>
            <w:vMerge w:val="continue"/>
            <w:tcBorders>
              <w:top w:val="nil"/>
              <w:bottom w:val="nil"/>
            </w:tcBorders>
          </w:tcPr>
          <w:p>
            <w:pPr>
              <w:spacing w:line="240" w:lineRule="exact"/>
              <w:rPr>
                <w:color w:val="auto"/>
              </w:rPr>
            </w:pPr>
          </w:p>
        </w:tc>
        <w:tc>
          <w:tcPr>
            <w:tcW w:w="895" w:type="dxa"/>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80" w:hanging="3"/>
              <w:jc w:val="both"/>
              <w:rPr>
                <w:color w:val="auto"/>
                <w:lang w:eastAsia="zh-CN"/>
              </w:rPr>
            </w:pPr>
            <w:r>
              <w:rPr>
                <w:color w:val="auto"/>
                <w:spacing w:val="-4"/>
                <w:lang w:eastAsia="zh-CN"/>
              </w:rPr>
              <w:t>（二）病</w:t>
            </w:r>
            <w:r>
              <w:rPr>
                <w:color w:val="auto"/>
                <w:spacing w:val="7"/>
                <w:lang w:eastAsia="zh-CN"/>
              </w:rPr>
              <w:t>历书写时效性指标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14" w:firstLine="19"/>
              <w:jc w:val="both"/>
              <w:rPr>
                <w:color w:val="auto"/>
                <w:lang w:eastAsia="zh-CN"/>
              </w:rPr>
            </w:pPr>
            <w:r>
              <w:rPr>
                <w:rFonts w:ascii="Times New Roman" w:hAnsi="Times New Roman" w:eastAsia="Times New Roman" w:cs="Times New Roman"/>
                <w:color w:val="auto"/>
                <w:spacing w:val="12"/>
                <w:lang w:eastAsia="zh-CN"/>
              </w:rPr>
              <w:t>1.</w:t>
            </w:r>
            <w:r>
              <w:rPr>
                <w:color w:val="auto"/>
                <w:spacing w:val="12"/>
                <w:lang w:eastAsia="zh-CN"/>
              </w:rPr>
              <w:t>入院记录</w:t>
            </w:r>
            <w:r>
              <w:rPr>
                <w:rFonts w:ascii="Times New Roman" w:hAnsi="Times New Roman" w:eastAsia="Times New Roman" w:cs="Times New Roman"/>
                <w:color w:val="auto"/>
                <w:spacing w:val="4"/>
                <w:lang w:eastAsia="zh-CN"/>
              </w:rPr>
              <w:t>24</w:t>
            </w:r>
            <w:r>
              <w:rPr>
                <w:color w:val="auto"/>
                <w:spacing w:val="4"/>
                <w:lang w:eastAsia="zh-CN"/>
              </w:rPr>
              <w:t>小时内完</w:t>
            </w:r>
            <w:r>
              <w:rPr>
                <w:color w:val="auto"/>
                <w:spacing w:val="7"/>
                <w:lang w:eastAsia="zh-CN"/>
              </w:rPr>
              <w:t>成率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ight="68" w:hanging="1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入院记录在患者入院</w:t>
            </w:r>
            <w:r>
              <w:rPr>
                <w:rFonts w:ascii="Times New Roman" w:hAnsi="Times New Roman" w:eastAsia="Times New Roman" w:cs="Times New Roman"/>
                <w:color w:val="auto"/>
                <w:spacing w:val="7"/>
                <w:lang w:eastAsia="zh-CN"/>
              </w:rPr>
              <w:t>24</w:t>
            </w:r>
            <w:r>
              <w:rPr>
                <w:color w:val="auto"/>
                <w:spacing w:val="7"/>
                <w:lang w:eastAsia="zh-CN"/>
              </w:rPr>
              <w:t>小时内</w:t>
            </w:r>
            <w:r>
              <w:rPr>
                <w:color w:val="auto"/>
                <w:spacing w:val="8"/>
                <w:lang w:eastAsia="zh-CN"/>
              </w:rPr>
              <w:t>完成的住院患者病历数</w:t>
            </w:r>
            <w:r>
              <w:rPr>
                <w:rFonts w:ascii="Times New Roman" w:hAnsi="Times New Roman" w:eastAsia="Times New Roman" w:cs="Times New Roman"/>
                <w:color w:val="auto"/>
                <w:spacing w:val="8"/>
                <w:lang w:eastAsia="zh-CN"/>
              </w:rPr>
              <w:t>/</w:t>
            </w:r>
            <w:r>
              <w:rPr>
                <w:color w:val="auto"/>
                <w:spacing w:val="8"/>
                <w:lang w:eastAsia="zh-CN"/>
              </w:rPr>
              <w:t>同期住院</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2" w:right="24" w:hanging="6"/>
              <w:rPr>
                <w:color w:val="auto"/>
                <w:lang w:eastAsia="zh-CN"/>
              </w:rPr>
            </w:pPr>
            <w:r>
              <w:rPr>
                <w:color w:val="auto"/>
                <w:spacing w:val="8"/>
                <w:lang w:eastAsia="zh-CN"/>
              </w:rPr>
              <w:t>单位时间内，入院记录在患者入院</w:t>
            </w:r>
            <w:r>
              <w:rPr>
                <w:rFonts w:ascii="Times New Roman" w:hAnsi="Times New Roman" w:eastAsia="Times New Roman" w:cs="Times New Roman"/>
                <w:color w:val="auto"/>
                <w:spacing w:val="8"/>
                <w:lang w:eastAsia="zh-CN"/>
              </w:rPr>
              <w:t>24</w:t>
            </w:r>
            <w:r>
              <w:rPr>
                <w:color w:val="auto"/>
                <w:spacing w:val="8"/>
                <w:lang w:eastAsia="zh-CN"/>
              </w:rPr>
              <w:t>小时内完成的住院患者病历数占同期住院患者病历</w:t>
            </w:r>
            <w:r>
              <w:rPr>
                <w:color w:val="auto"/>
                <w:spacing w:val="4"/>
                <w:lang w:eastAsia="zh-CN"/>
              </w:rPr>
              <w:t>总数的比例。</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44"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14"/>
              <w:jc w:val="both"/>
              <w:rPr>
                <w:color w:val="auto"/>
                <w:lang w:eastAsia="zh-CN"/>
              </w:rPr>
            </w:pPr>
            <w:r>
              <w:rPr>
                <w:rFonts w:ascii="Times New Roman" w:hAnsi="Times New Roman" w:eastAsia="Times New Roman" w:cs="Times New Roman"/>
                <w:color w:val="auto"/>
                <w:spacing w:val="14"/>
                <w:lang w:eastAsia="zh-CN"/>
              </w:rPr>
              <w:t>2.</w:t>
            </w:r>
            <w:r>
              <w:rPr>
                <w:color w:val="auto"/>
                <w:spacing w:val="14"/>
                <w:lang w:eastAsia="zh-CN"/>
              </w:rPr>
              <w:t>手术记录</w:t>
            </w:r>
            <w:r>
              <w:rPr>
                <w:rFonts w:ascii="Times New Roman" w:hAnsi="Times New Roman" w:eastAsia="Times New Roman" w:cs="Times New Roman"/>
                <w:color w:val="auto"/>
                <w:spacing w:val="4"/>
                <w:lang w:eastAsia="zh-CN"/>
              </w:rPr>
              <w:t>24</w:t>
            </w:r>
            <w:r>
              <w:rPr>
                <w:color w:val="auto"/>
                <w:spacing w:val="4"/>
                <w:lang w:eastAsia="zh-CN"/>
              </w:rPr>
              <w:t>小时内完</w:t>
            </w:r>
            <w:r>
              <w:rPr>
                <w:color w:val="auto"/>
                <w:spacing w:val="7"/>
                <w:lang w:eastAsia="zh-CN"/>
              </w:rPr>
              <w:t>成率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ight="68" w:hanging="1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手术记录在术后</w:t>
            </w:r>
            <w:r>
              <w:rPr>
                <w:rFonts w:ascii="Times New Roman" w:hAnsi="Times New Roman" w:eastAsia="Times New Roman" w:cs="Times New Roman"/>
                <w:color w:val="auto"/>
                <w:spacing w:val="7"/>
                <w:lang w:eastAsia="zh-CN"/>
              </w:rPr>
              <w:t>24</w:t>
            </w:r>
            <w:r>
              <w:rPr>
                <w:color w:val="auto"/>
                <w:spacing w:val="7"/>
                <w:lang w:eastAsia="zh-CN"/>
              </w:rPr>
              <w:t>小时内完成</w:t>
            </w:r>
            <w:r>
              <w:rPr>
                <w:color w:val="auto"/>
                <w:spacing w:val="8"/>
                <w:lang w:eastAsia="zh-CN"/>
              </w:rPr>
              <w:t>的住院患者病历数</w:t>
            </w:r>
            <w:r>
              <w:rPr>
                <w:rFonts w:ascii="Times New Roman" w:hAnsi="Times New Roman" w:eastAsia="Times New Roman" w:cs="Times New Roman"/>
                <w:color w:val="auto"/>
                <w:spacing w:val="8"/>
                <w:lang w:eastAsia="zh-CN"/>
              </w:rPr>
              <w:t>/</w:t>
            </w:r>
            <w:r>
              <w:rPr>
                <w:color w:val="auto"/>
                <w:spacing w:val="8"/>
                <w:lang w:eastAsia="zh-CN"/>
              </w:rPr>
              <w:t>同期住院手术</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4" w:right="27" w:hanging="8"/>
              <w:jc w:val="both"/>
              <w:rPr>
                <w:color w:val="auto"/>
                <w:lang w:eastAsia="zh-CN"/>
              </w:rPr>
            </w:pPr>
            <w:r>
              <w:rPr>
                <w:color w:val="auto"/>
                <w:spacing w:val="8"/>
                <w:lang w:eastAsia="zh-CN"/>
              </w:rPr>
              <w:t>单位时间内，手术记录在术后</w:t>
            </w:r>
            <w:r>
              <w:rPr>
                <w:rFonts w:ascii="Times New Roman" w:hAnsi="Times New Roman" w:eastAsia="Times New Roman" w:cs="Times New Roman"/>
                <w:color w:val="auto"/>
                <w:spacing w:val="8"/>
                <w:lang w:eastAsia="zh-CN"/>
              </w:rPr>
              <w:t>24</w:t>
            </w:r>
            <w:r>
              <w:rPr>
                <w:color w:val="auto"/>
                <w:spacing w:val="8"/>
                <w:lang w:eastAsia="zh-CN"/>
              </w:rPr>
              <w:t>小时内完成的住院患者病历数占同期住院手术患者病历</w:t>
            </w:r>
            <w:r>
              <w:rPr>
                <w:color w:val="auto"/>
                <w:spacing w:val="4"/>
                <w:lang w:eastAsia="zh-CN"/>
              </w:rPr>
              <w:t>总数的比例。</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8"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5" w:right="14" w:firstLine="3"/>
              <w:jc w:val="both"/>
              <w:rPr>
                <w:color w:val="auto"/>
                <w:lang w:eastAsia="zh-CN"/>
              </w:rPr>
            </w:pPr>
            <w:r>
              <w:rPr>
                <w:rFonts w:ascii="Times New Roman" w:hAnsi="Times New Roman" w:eastAsia="Times New Roman" w:cs="Times New Roman"/>
                <w:color w:val="auto"/>
                <w:spacing w:val="10"/>
                <w:lang w:eastAsia="zh-CN"/>
              </w:rPr>
              <w:t>3.</w:t>
            </w:r>
            <w:r>
              <w:rPr>
                <w:color w:val="auto"/>
                <w:spacing w:val="10"/>
                <w:lang w:eastAsia="zh-CN"/>
              </w:rPr>
              <w:t>出院记录</w:t>
            </w:r>
            <w:r>
              <w:rPr>
                <w:rFonts w:ascii="Times New Roman" w:hAnsi="Times New Roman" w:eastAsia="Times New Roman" w:cs="Times New Roman"/>
                <w:color w:val="auto"/>
                <w:spacing w:val="4"/>
                <w:lang w:eastAsia="zh-CN"/>
              </w:rPr>
              <w:t>24</w:t>
            </w:r>
            <w:r>
              <w:rPr>
                <w:color w:val="auto"/>
                <w:spacing w:val="4"/>
                <w:lang w:eastAsia="zh-CN"/>
              </w:rPr>
              <w:t>小时内完</w:t>
            </w:r>
            <w:r>
              <w:rPr>
                <w:color w:val="auto"/>
                <w:spacing w:val="7"/>
                <w:lang w:eastAsia="zh-CN"/>
              </w:rPr>
              <w:t>成率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 w:right="68"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出院记录在患者出院后</w:t>
            </w:r>
            <w:r>
              <w:rPr>
                <w:rFonts w:ascii="Times New Roman" w:hAnsi="Times New Roman" w:eastAsia="Times New Roman" w:cs="Times New Roman"/>
                <w:color w:val="auto"/>
                <w:spacing w:val="7"/>
                <w:lang w:eastAsia="zh-CN"/>
              </w:rPr>
              <w:t>24</w:t>
            </w:r>
            <w:r>
              <w:rPr>
                <w:color w:val="auto"/>
                <w:spacing w:val="7"/>
                <w:lang w:eastAsia="zh-CN"/>
              </w:rPr>
              <w:t>小时</w:t>
            </w:r>
            <w:r>
              <w:rPr>
                <w:color w:val="auto"/>
                <w:spacing w:val="8"/>
                <w:lang w:eastAsia="zh-CN"/>
              </w:rPr>
              <w:t>内完成的病历数</w:t>
            </w:r>
            <w:r>
              <w:rPr>
                <w:rFonts w:ascii="Times New Roman" w:hAnsi="Times New Roman" w:eastAsia="Times New Roman" w:cs="Times New Roman"/>
                <w:color w:val="auto"/>
                <w:spacing w:val="8"/>
                <w:lang w:eastAsia="zh-CN"/>
              </w:rPr>
              <w:t>/</w:t>
            </w:r>
            <w:r>
              <w:rPr>
                <w:color w:val="auto"/>
                <w:spacing w:val="8"/>
                <w:lang w:eastAsia="zh-CN"/>
              </w:rPr>
              <w:t>同期出院患者病</w:t>
            </w:r>
            <w:r>
              <w:rPr>
                <w:color w:val="auto"/>
                <w:spacing w:val="3"/>
                <w:lang w:eastAsia="zh-CN"/>
              </w:rPr>
              <w:t>历总数</w:t>
            </w:r>
            <w:r>
              <w:rPr>
                <w:rFonts w:ascii="Times New Roman" w:hAnsi="Times New Roman" w:eastAsia="Times New Roman" w:cs="Times New Roman"/>
                <w:color w:val="auto"/>
                <w:spacing w:val="3"/>
                <w:lang w:eastAsia="zh-CN"/>
              </w:rPr>
              <w:t>×100%</w:t>
            </w:r>
          </w:p>
        </w:tc>
        <w:tc>
          <w:tcPr>
            <w:tcW w:w="3943"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49" w:right="27" w:hanging="23"/>
              <w:jc w:val="both"/>
              <w:rPr>
                <w:color w:val="auto"/>
                <w:lang w:eastAsia="zh-CN"/>
              </w:rPr>
            </w:pPr>
            <w:r>
              <w:rPr>
                <w:color w:val="auto"/>
                <w:spacing w:val="6"/>
                <w:lang w:eastAsia="zh-CN"/>
              </w:rPr>
              <w:t>单位时间内，出院记录在患者出院后</w:t>
            </w:r>
            <w:r>
              <w:rPr>
                <w:rFonts w:ascii="Times New Roman" w:hAnsi="Times New Roman" w:eastAsia="Times New Roman" w:cs="Times New Roman"/>
                <w:color w:val="auto"/>
                <w:spacing w:val="6"/>
                <w:lang w:eastAsia="zh-CN"/>
              </w:rPr>
              <w:t>24</w:t>
            </w:r>
            <w:r>
              <w:rPr>
                <w:color w:val="auto"/>
                <w:spacing w:val="6"/>
                <w:lang w:eastAsia="zh-CN"/>
              </w:rPr>
              <w:t>小时</w:t>
            </w:r>
            <w:r>
              <w:rPr>
                <w:color w:val="auto"/>
                <w:spacing w:val="8"/>
                <w:lang w:eastAsia="zh-CN"/>
              </w:rPr>
              <w:t>内完成的病历数占同期出院患者病历总数的</w:t>
            </w:r>
            <w:r>
              <w:rPr>
                <w:color w:val="auto"/>
                <w:spacing w:val="-6"/>
                <w:lang w:eastAsia="zh-CN"/>
              </w:rPr>
              <w:t>比例。</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1"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4" w:right="14"/>
              <w:jc w:val="both"/>
              <w:rPr>
                <w:color w:val="auto"/>
                <w:lang w:eastAsia="zh-CN"/>
              </w:rPr>
            </w:pPr>
            <w:r>
              <w:rPr>
                <w:rFonts w:ascii="Times New Roman" w:hAnsi="Times New Roman" w:eastAsia="Times New Roman" w:cs="Times New Roman"/>
                <w:color w:val="auto"/>
                <w:spacing w:val="16"/>
                <w:lang w:eastAsia="zh-CN"/>
              </w:rPr>
              <w:t>4.</w:t>
            </w:r>
            <w:r>
              <w:rPr>
                <w:color w:val="auto"/>
                <w:spacing w:val="16"/>
                <w:lang w:eastAsia="zh-CN"/>
              </w:rPr>
              <w:t>病案首页</w:t>
            </w:r>
            <w:r>
              <w:rPr>
                <w:rFonts w:ascii="Times New Roman" w:hAnsi="Times New Roman" w:eastAsia="Times New Roman" w:cs="Times New Roman"/>
                <w:color w:val="auto"/>
                <w:spacing w:val="4"/>
                <w:lang w:eastAsia="zh-CN"/>
              </w:rPr>
              <w:t>24</w:t>
            </w:r>
            <w:r>
              <w:rPr>
                <w:color w:val="auto"/>
                <w:spacing w:val="4"/>
                <w:lang w:eastAsia="zh-CN"/>
              </w:rPr>
              <w:t>小时内完</w:t>
            </w:r>
            <w:r>
              <w:rPr>
                <w:color w:val="auto"/>
                <w:spacing w:val="7"/>
                <w:lang w:eastAsia="zh-CN"/>
              </w:rPr>
              <w:t>成率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 w:right="68"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病案首页在患者出院后</w:t>
            </w:r>
            <w:r>
              <w:rPr>
                <w:rFonts w:ascii="Times New Roman" w:hAnsi="Times New Roman" w:eastAsia="Times New Roman" w:cs="Times New Roman"/>
                <w:color w:val="auto"/>
                <w:spacing w:val="7"/>
                <w:lang w:eastAsia="zh-CN"/>
              </w:rPr>
              <w:t>24</w:t>
            </w:r>
            <w:r>
              <w:rPr>
                <w:color w:val="auto"/>
                <w:spacing w:val="7"/>
                <w:lang w:eastAsia="zh-CN"/>
              </w:rPr>
              <w:t>小时</w:t>
            </w:r>
            <w:r>
              <w:rPr>
                <w:color w:val="auto"/>
                <w:spacing w:val="8"/>
                <w:lang w:eastAsia="zh-CN"/>
              </w:rPr>
              <w:t>内完成的病历数</w:t>
            </w:r>
            <w:r>
              <w:rPr>
                <w:rFonts w:ascii="Times New Roman" w:hAnsi="Times New Roman" w:eastAsia="Times New Roman" w:cs="Times New Roman"/>
                <w:color w:val="auto"/>
                <w:spacing w:val="8"/>
                <w:lang w:eastAsia="zh-CN"/>
              </w:rPr>
              <w:t>/</w:t>
            </w:r>
            <w:r>
              <w:rPr>
                <w:color w:val="auto"/>
                <w:spacing w:val="8"/>
                <w:lang w:eastAsia="zh-CN"/>
              </w:rPr>
              <w:t>同期出院患者病</w:t>
            </w:r>
            <w:r>
              <w:rPr>
                <w:color w:val="auto"/>
                <w:spacing w:val="3"/>
                <w:lang w:eastAsia="zh-CN"/>
              </w:rPr>
              <w:t>历总数</w:t>
            </w:r>
            <w:r>
              <w:rPr>
                <w:rFonts w:ascii="Times New Roman" w:hAnsi="Times New Roman" w:eastAsia="Times New Roman" w:cs="Times New Roman"/>
                <w:color w:val="auto"/>
                <w:spacing w:val="3"/>
                <w:lang w:eastAsia="zh-CN"/>
              </w:rPr>
              <w:t>×100%</w:t>
            </w:r>
          </w:p>
        </w:tc>
        <w:tc>
          <w:tcPr>
            <w:tcW w:w="3943"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49" w:right="27" w:hanging="23"/>
              <w:jc w:val="both"/>
              <w:rPr>
                <w:color w:val="auto"/>
                <w:lang w:eastAsia="zh-CN"/>
              </w:rPr>
            </w:pPr>
            <w:r>
              <w:rPr>
                <w:color w:val="auto"/>
                <w:spacing w:val="8"/>
                <w:lang w:eastAsia="zh-CN"/>
              </w:rPr>
              <w:t>单位时间内，病案首页在患者出院后</w:t>
            </w:r>
            <w:r>
              <w:rPr>
                <w:rFonts w:ascii="Times New Roman" w:hAnsi="Times New Roman" w:eastAsia="Times New Roman" w:cs="Times New Roman"/>
                <w:color w:val="auto"/>
                <w:spacing w:val="8"/>
                <w:lang w:eastAsia="zh-CN"/>
              </w:rPr>
              <w:t>24</w:t>
            </w:r>
            <w:r>
              <w:rPr>
                <w:color w:val="auto"/>
                <w:spacing w:val="8"/>
                <w:lang w:eastAsia="zh-CN"/>
              </w:rPr>
              <w:t>小时内完成的病历数占同期出院患者病历总数的</w:t>
            </w:r>
            <w:r>
              <w:rPr>
                <w:color w:val="auto"/>
                <w:spacing w:val="-6"/>
                <w:lang w:eastAsia="zh-CN"/>
              </w:rPr>
              <w:t>比例。</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45"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80" w:hanging="11"/>
              <w:jc w:val="both"/>
              <w:rPr>
                <w:color w:val="auto"/>
                <w:lang w:eastAsia="zh-CN"/>
              </w:rPr>
            </w:pPr>
            <w:r>
              <w:rPr>
                <w:color w:val="auto"/>
                <w:spacing w:val="8"/>
                <w:lang w:eastAsia="zh-CN"/>
              </w:rPr>
              <w:t>（三）重</w:t>
            </w:r>
            <w:r>
              <w:rPr>
                <w:color w:val="auto"/>
                <w:spacing w:val="5"/>
                <w:lang w:eastAsia="zh-CN"/>
              </w:rPr>
              <w:t>大检查记录符合率</w:t>
            </w:r>
          </w:p>
        </w:tc>
        <w:tc>
          <w:tcPr>
            <w:tcW w:w="1062"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6" w:right="14" w:firstLine="17"/>
              <w:rPr>
                <w:color w:val="auto"/>
                <w:lang w:eastAsia="zh-CN"/>
              </w:rPr>
            </w:pPr>
            <w:r>
              <w:rPr>
                <w:rFonts w:ascii="Times New Roman" w:hAnsi="Times New Roman" w:eastAsia="Times New Roman" w:cs="Times New Roman"/>
                <w:color w:val="auto"/>
                <w:spacing w:val="6"/>
                <w:lang w:eastAsia="zh-CN"/>
              </w:rPr>
              <w:t>1.</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6"/>
                <w:lang w:eastAsia="zh-CN"/>
              </w:rPr>
              <w:t>/</w:t>
            </w:r>
            <w:r>
              <w:rPr>
                <w:rFonts w:ascii="Times New Roman" w:hAnsi="Times New Roman" w:eastAsia="Times New Roman" w:cs="Times New Roman"/>
                <w:color w:val="auto"/>
                <w:lang w:eastAsia="zh-CN"/>
              </w:rPr>
              <w:t>MRI</w:t>
            </w:r>
            <w:r>
              <w:rPr>
                <w:color w:val="auto"/>
                <w:spacing w:val="15"/>
                <w:lang w:eastAsia="zh-CN"/>
              </w:rPr>
              <w:t>检查记录符</w:t>
            </w:r>
            <w:r>
              <w:rPr>
                <w:color w:val="auto"/>
                <w:spacing w:val="6"/>
                <w:lang w:eastAsia="zh-CN"/>
              </w:rPr>
              <w:t>合率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 w:right="67"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0"/>
                <w:lang w:eastAsia="zh-CN"/>
              </w:rPr>
              <w:t>=</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10"/>
                <w:lang w:eastAsia="zh-CN"/>
              </w:rPr>
              <w:t>/</w:t>
            </w:r>
            <w:r>
              <w:rPr>
                <w:rFonts w:ascii="Times New Roman" w:hAnsi="Times New Roman" w:eastAsia="Times New Roman" w:cs="Times New Roman"/>
                <w:color w:val="auto"/>
                <w:lang w:eastAsia="zh-CN"/>
              </w:rPr>
              <w:t>MRI</w:t>
            </w:r>
            <w:r>
              <w:rPr>
                <w:color w:val="auto"/>
                <w:spacing w:val="10"/>
                <w:lang w:eastAsia="zh-CN"/>
              </w:rPr>
              <w:t>检查医嘱、报告单、病</w:t>
            </w:r>
            <w:r>
              <w:rPr>
                <w:color w:val="auto"/>
                <w:spacing w:val="8"/>
                <w:lang w:eastAsia="zh-CN"/>
              </w:rPr>
              <w:t>程记录相对应的住院患者病历数</w:t>
            </w:r>
            <w:r>
              <w:rPr>
                <w:rFonts w:ascii="Times New Roman" w:hAnsi="Times New Roman" w:eastAsia="Times New Roman" w:cs="Times New Roman"/>
                <w:color w:val="auto"/>
                <w:spacing w:val="8"/>
                <w:lang w:eastAsia="zh-CN"/>
              </w:rPr>
              <w:t>/</w:t>
            </w:r>
            <w:r>
              <w:rPr>
                <w:color w:val="auto"/>
                <w:spacing w:val="8"/>
                <w:lang w:eastAsia="zh-CN"/>
              </w:rPr>
              <w:t>接受</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lang w:eastAsia="zh-CN"/>
              </w:rPr>
              <w:t>MRI</w:t>
            </w:r>
            <w:r>
              <w:rPr>
                <w:color w:val="auto"/>
                <w:spacing w:val="8"/>
                <w:lang w:eastAsia="zh-CN"/>
              </w:rPr>
              <w:t>检查的住院患者病</w:t>
            </w:r>
            <w:r>
              <w:rPr>
                <w:color w:val="auto"/>
                <w:spacing w:val="3"/>
                <w:lang w:eastAsia="zh-CN"/>
              </w:rPr>
              <w:t>历总数</w:t>
            </w:r>
            <w:r>
              <w:rPr>
                <w:rFonts w:ascii="Times New Roman" w:hAnsi="Times New Roman" w:eastAsia="Times New Roman" w:cs="Times New Roman"/>
                <w:color w:val="auto"/>
                <w:spacing w:val="3"/>
                <w:lang w:eastAsia="zh-CN"/>
              </w:rPr>
              <w:t>×100%</w:t>
            </w:r>
          </w:p>
        </w:tc>
        <w:tc>
          <w:tcPr>
            <w:tcW w:w="3943" w:type="dxa"/>
          </w:tcPr>
          <w:p>
            <w:pPr>
              <w:pStyle w:val="8"/>
              <w:spacing w:before="0" w:line="240" w:lineRule="exact"/>
              <w:ind w:left="20" w:right="7" w:firstLine="5"/>
              <w:rPr>
                <w:color w:val="auto"/>
                <w:lang w:eastAsia="zh-CN"/>
              </w:rPr>
            </w:pPr>
            <w:r>
              <w:rPr>
                <w:color w:val="auto"/>
                <w:spacing w:val="9"/>
                <w:lang w:eastAsia="zh-CN"/>
              </w:rPr>
              <w:t>单位时间内，</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9"/>
                <w:lang w:eastAsia="zh-CN"/>
              </w:rPr>
              <w:t>/</w:t>
            </w:r>
            <w:r>
              <w:rPr>
                <w:rFonts w:ascii="Times New Roman" w:hAnsi="Times New Roman" w:eastAsia="Times New Roman" w:cs="Times New Roman"/>
                <w:color w:val="auto"/>
                <w:lang w:eastAsia="zh-CN"/>
              </w:rPr>
              <w:t>MRI</w:t>
            </w:r>
            <w:r>
              <w:rPr>
                <w:color w:val="auto"/>
                <w:spacing w:val="9"/>
                <w:lang w:eastAsia="zh-CN"/>
              </w:rPr>
              <w:t>检查医嘱、报告单、病</w:t>
            </w:r>
            <w:r>
              <w:rPr>
                <w:color w:val="auto"/>
                <w:spacing w:val="39"/>
                <w:lang w:eastAsia="zh-CN"/>
              </w:rPr>
              <w:t>程记录相对应的住院患者病历数占接受</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9"/>
                <w:lang w:eastAsia="zh-CN"/>
              </w:rPr>
              <w:t>/</w:t>
            </w:r>
            <w:r>
              <w:rPr>
                <w:rFonts w:ascii="Times New Roman" w:hAnsi="Times New Roman" w:eastAsia="Times New Roman" w:cs="Times New Roman"/>
                <w:color w:val="auto"/>
                <w:lang w:eastAsia="zh-CN"/>
              </w:rPr>
              <w:t>MRI</w:t>
            </w:r>
            <w:r>
              <w:rPr>
                <w:color w:val="auto"/>
                <w:spacing w:val="9"/>
                <w:lang w:eastAsia="zh-CN"/>
              </w:rPr>
              <w:t>检查的住院患者病历总数的比例。</w:t>
            </w:r>
          </w:p>
          <w:p>
            <w:pPr>
              <w:pStyle w:val="8"/>
              <w:spacing w:before="0" w:line="240" w:lineRule="exact"/>
              <w:ind w:left="18" w:right="7" w:firstLine="2"/>
              <w:rPr>
                <w:color w:val="auto"/>
                <w:lang w:eastAsia="zh-CN"/>
              </w:rPr>
            </w:pPr>
            <w:r>
              <w:rPr>
                <w:color w:val="auto"/>
                <w:spacing w:val="9"/>
                <w:lang w:eastAsia="zh-CN"/>
              </w:rPr>
              <w:t>说明：</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9"/>
                <w:lang w:eastAsia="zh-CN"/>
              </w:rPr>
              <w:t>/</w:t>
            </w:r>
            <w:r>
              <w:rPr>
                <w:rFonts w:ascii="Times New Roman" w:hAnsi="Times New Roman" w:eastAsia="Times New Roman" w:cs="Times New Roman"/>
                <w:color w:val="auto"/>
                <w:lang w:eastAsia="zh-CN"/>
              </w:rPr>
              <w:t>MRI</w:t>
            </w:r>
            <w:r>
              <w:rPr>
                <w:color w:val="auto"/>
                <w:spacing w:val="9"/>
                <w:lang w:eastAsia="zh-CN"/>
              </w:rPr>
              <w:t>检查医嘱、报告单、病程记录</w:t>
            </w:r>
            <w:r>
              <w:rPr>
                <w:color w:val="auto"/>
                <w:spacing w:val="17"/>
                <w:lang w:eastAsia="zh-CN"/>
              </w:rPr>
              <w:t>相对应是指在接受</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17"/>
                <w:lang w:eastAsia="zh-CN"/>
              </w:rPr>
              <w:t>/</w:t>
            </w:r>
            <w:r>
              <w:rPr>
                <w:rFonts w:ascii="Times New Roman" w:hAnsi="Times New Roman" w:eastAsia="Times New Roman" w:cs="Times New Roman"/>
                <w:color w:val="auto"/>
                <w:lang w:eastAsia="zh-CN"/>
              </w:rPr>
              <w:t>MRI</w:t>
            </w:r>
            <w:r>
              <w:rPr>
                <w:color w:val="auto"/>
                <w:spacing w:val="17"/>
                <w:lang w:eastAsia="zh-CN"/>
              </w:rPr>
              <w:t>检查的住院患者</w:t>
            </w:r>
            <w:r>
              <w:rPr>
                <w:color w:val="auto"/>
                <w:spacing w:val="9"/>
                <w:lang w:eastAsia="zh-CN"/>
              </w:rPr>
              <w:t>病历中，</w:t>
            </w:r>
            <w:r>
              <w:rPr>
                <w:rFonts w:ascii="Times New Roman" w:hAnsi="Times New Roman" w:eastAsia="Times New Roman" w:cs="Times New Roman"/>
                <w:color w:val="auto"/>
                <w:lang w:eastAsia="zh-CN"/>
              </w:rPr>
              <w:t>CT</w:t>
            </w:r>
            <w:r>
              <w:rPr>
                <w:rFonts w:ascii="Times New Roman" w:hAnsi="Times New Roman" w:eastAsia="Times New Roman" w:cs="Times New Roman"/>
                <w:color w:val="auto"/>
                <w:spacing w:val="9"/>
                <w:lang w:eastAsia="zh-CN"/>
              </w:rPr>
              <w:t>/</w:t>
            </w:r>
            <w:r>
              <w:rPr>
                <w:rFonts w:ascii="Times New Roman" w:hAnsi="Times New Roman" w:eastAsia="Times New Roman" w:cs="Times New Roman"/>
                <w:color w:val="auto"/>
                <w:lang w:eastAsia="zh-CN"/>
              </w:rPr>
              <w:t>MRI</w:t>
            </w:r>
            <w:r>
              <w:rPr>
                <w:color w:val="auto"/>
                <w:spacing w:val="9"/>
                <w:lang w:eastAsia="zh-CN"/>
              </w:rPr>
              <w:t>相关医嘱、报告单完整，检查结果及分析在病程记录中有相应记录。</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6" w:right="14" w:hanging="1"/>
              <w:jc w:val="both"/>
              <w:rPr>
                <w:color w:val="auto"/>
                <w:lang w:eastAsia="zh-CN"/>
              </w:rPr>
            </w:pPr>
            <w:r>
              <w:rPr>
                <w:rFonts w:ascii="Times New Roman" w:hAnsi="Times New Roman" w:eastAsia="Times New Roman" w:cs="Times New Roman"/>
                <w:color w:val="auto"/>
                <w:spacing w:val="15"/>
                <w:lang w:eastAsia="zh-CN"/>
              </w:rPr>
              <w:t>2.</w:t>
            </w:r>
            <w:r>
              <w:rPr>
                <w:color w:val="auto"/>
                <w:spacing w:val="15"/>
                <w:lang w:eastAsia="zh-CN"/>
              </w:rPr>
              <w:t>细菌培养检查记录符</w:t>
            </w:r>
            <w:r>
              <w:rPr>
                <w:color w:val="auto"/>
                <w:spacing w:val="6"/>
                <w:lang w:eastAsia="zh-CN"/>
              </w:rPr>
              <w:t>合率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1" w:right="51"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lang w:eastAsia="zh-CN"/>
              </w:rPr>
              <w:t>=</w:t>
            </w:r>
            <w:r>
              <w:rPr>
                <w:color w:val="auto"/>
                <w:spacing w:val="6"/>
                <w:lang w:eastAsia="zh-CN"/>
              </w:rPr>
              <w:t>细菌培养检查的医嘱、报告单、</w:t>
            </w:r>
            <w:r>
              <w:rPr>
                <w:color w:val="auto"/>
                <w:spacing w:val="8"/>
                <w:lang w:eastAsia="zh-CN"/>
              </w:rPr>
              <w:t>病程记录相对应的住院患者病历数</w:t>
            </w:r>
            <w:r>
              <w:rPr>
                <w:rFonts w:ascii="Times New Roman" w:hAnsi="Times New Roman" w:eastAsia="Times New Roman" w:cs="Times New Roman"/>
                <w:color w:val="auto"/>
                <w:spacing w:val="8"/>
                <w:lang w:eastAsia="zh-CN"/>
              </w:rPr>
              <w:t>/</w:t>
            </w:r>
            <w:r>
              <w:rPr>
                <w:color w:val="auto"/>
                <w:spacing w:val="8"/>
                <w:lang w:eastAsia="zh-CN"/>
              </w:rPr>
              <w:t>同期开展细菌培养检查的住院</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21" w:firstLine="4"/>
              <w:jc w:val="both"/>
              <w:rPr>
                <w:color w:val="auto"/>
                <w:lang w:eastAsia="zh-CN"/>
              </w:rPr>
            </w:pPr>
            <w:r>
              <w:rPr>
                <w:color w:val="auto"/>
                <w:spacing w:val="5"/>
                <w:lang w:eastAsia="zh-CN"/>
              </w:rPr>
              <w:t>单位时间内，细菌培养检查的医嘱、报告单、</w:t>
            </w:r>
            <w:r>
              <w:rPr>
                <w:color w:val="auto"/>
                <w:spacing w:val="13"/>
                <w:lang w:eastAsia="zh-CN"/>
              </w:rPr>
              <w:t>病程记录相对应的住院患者病历数占同期开</w:t>
            </w:r>
            <w:r>
              <w:rPr>
                <w:color w:val="auto"/>
                <w:spacing w:val="5"/>
                <w:lang w:eastAsia="zh-CN"/>
              </w:rPr>
              <w:t>展细菌培养检查的住院患者病历总数的比例。</w:t>
            </w:r>
            <w:r>
              <w:rPr>
                <w:color w:val="auto"/>
                <w:spacing w:val="3"/>
                <w:lang w:eastAsia="zh-CN"/>
              </w:rPr>
              <w:t>说明：细菌培养检查的医嘱、报告单、病程记</w:t>
            </w:r>
            <w:r>
              <w:rPr>
                <w:color w:val="auto"/>
                <w:spacing w:val="13"/>
                <w:lang w:eastAsia="zh-CN"/>
              </w:rPr>
              <w:t>录相对应是指在开展细菌培养检查的住院患</w:t>
            </w:r>
            <w:r>
              <w:rPr>
                <w:color w:val="auto"/>
                <w:spacing w:val="3"/>
                <w:lang w:eastAsia="zh-CN"/>
              </w:rPr>
              <w:t>者病历中，细菌培养检查相关医嘱、报告单完</w:t>
            </w:r>
            <w:r>
              <w:rPr>
                <w:color w:val="auto"/>
                <w:spacing w:val="13"/>
                <w:lang w:eastAsia="zh-CN"/>
              </w:rPr>
              <w:t>整，培养结果及分析在病程记录中有相应记</w:t>
            </w:r>
            <w:r>
              <w:rPr>
                <w:color w:val="auto"/>
                <w:spacing w:val="-1"/>
                <w:lang w:eastAsia="zh-CN"/>
              </w:rPr>
              <w:t>录。</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1" w:hRule="atLeast"/>
        </w:trPr>
        <w:tc>
          <w:tcPr>
            <w:tcW w:w="1269" w:type="dxa"/>
            <w:vMerge w:val="continue"/>
            <w:tcBorders>
              <w:top w:val="nil"/>
              <w:bottom w:val="nil"/>
            </w:tcBorders>
          </w:tcPr>
          <w:p>
            <w:pPr>
              <w:spacing w:line="240" w:lineRule="exact"/>
              <w:rPr>
                <w:color w:val="auto"/>
              </w:rPr>
            </w:pPr>
          </w:p>
        </w:tc>
        <w:tc>
          <w:tcPr>
            <w:tcW w:w="895" w:type="dxa"/>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80" w:hanging="3"/>
              <w:jc w:val="both"/>
              <w:rPr>
                <w:color w:val="auto"/>
                <w:lang w:eastAsia="zh-CN"/>
              </w:rPr>
            </w:pPr>
            <w:r>
              <w:rPr>
                <w:color w:val="auto"/>
                <w:spacing w:val="8"/>
                <w:lang w:eastAsia="zh-CN"/>
              </w:rPr>
              <w:t>（四）诊</w:t>
            </w:r>
            <w:r>
              <w:rPr>
                <w:color w:val="auto"/>
                <w:spacing w:val="7"/>
                <w:lang w:eastAsia="zh-CN"/>
              </w:rPr>
              <w:t>疗行为记录符合率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6" w:right="14" w:firstLine="17"/>
              <w:jc w:val="both"/>
              <w:rPr>
                <w:color w:val="auto"/>
                <w:lang w:eastAsia="zh-CN"/>
              </w:rPr>
            </w:pPr>
            <w:r>
              <w:rPr>
                <w:rFonts w:ascii="Times New Roman" w:hAnsi="Times New Roman" w:eastAsia="Times New Roman" w:cs="Times New Roman"/>
                <w:color w:val="auto"/>
                <w:spacing w:val="12"/>
                <w:lang w:eastAsia="zh-CN"/>
              </w:rPr>
              <w:t>1.</w:t>
            </w:r>
            <w:r>
              <w:rPr>
                <w:color w:val="auto"/>
                <w:spacing w:val="12"/>
                <w:lang w:eastAsia="zh-CN"/>
              </w:rPr>
              <w:t>抗菌药物</w:t>
            </w:r>
            <w:r>
              <w:rPr>
                <w:color w:val="auto"/>
                <w:spacing w:val="15"/>
                <w:lang w:eastAsia="zh-CN"/>
              </w:rPr>
              <w:t>使用记录符</w:t>
            </w:r>
            <w:r>
              <w:rPr>
                <w:color w:val="auto"/>
                <w:spacing w:val="6"/>
                <w:lang w:eastAsia="zh-CN"/>
              </w:rPr>
              <w:t>合率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2" w:right="15" w:hanging="6"/>
              <w:rPr>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抗菌药物使用医嘱、病程记录相</w:t>
            </w:r>
            <w:r>
              <w:rPr>
                <w:color w:val="auto"/>
                <w:spacing w:val="8"/>
                <w:lang w:eastAsia="zh-CN"/>
              </w:rPr>
              <w:t>对应的住院患者病历数</w:t>
            </w:r>
            <w:r>
              <w:rPr>
                <w:rFonts w:ascii="Times New Roman" w:hAnsi="Times New Roman" w:eastAsia="Times New Roman" w:cs="Times New Roman"/>
                <w:color w:val="auto"/>
                <w:spacing w:val="8"/>
                <w:lang w:eastAsia="zh-CN"/>
              </w:rPr>
              <w:t>/</w:t>
            </w:r>
            <w:r>
              <w:rPr>
                <w:color w:val="auto"/>
                <w:spacing w:val="8"/>
                <w:lang w:eastAsia="zh-CN"/>
              </w:rPr>
              <w:t>同期使用</w:t>
            </w:r>
            <w:r>
              <w:rPr>
                <w:color w:val="auto"/>
                <w:spacing w:val="9"/>
                <w:lang w:eastAsia="zh-CN"/>
              </w:rPr>
              <w:t>抗菌药物的住院患者病历总数</w:t>
            </w:r>
          </w:p>
          <w:p>
            <w:pPr>
              <w:spacing w:before="0" w:line="240" w:lineRule="exact"/>
              <w:ind w:left="28"/>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position w:val="2"/>
                <w:sz w:val="19"/>
                <w:szCs w:val="19"/>
              </w:rPr>
              <w:t>×100%</w:t>
            </w:r>
          </w:p>
        </w:tc>
        <w:tc>
          <w:tcPr>
            <w:tcW w:w="3943" w:type="dxa"/>
          </w:tcPr>
          <w:p>
            <w:pPr>
              <w:pStyle w:val="8"/>
              <w:spacing w:before="0" w:line="240" w:lineRule="exact"/>
              <w:ind w:left="25" w:right="10"/>
              <w:jc w:val="both"/>
              <w:rPr>
                <w:color w:val="auto"/>
                <w:lang w:eastAsia="zh-CN"/>
              </w:rPr>
            </w:pPr>
            <w:r>
              <w:rPr>
                <w:color w:val="auto"/>
                <w:spacing w:val="4"/>
                <w:lang w:eastAsia="zh-CN"/>
              </w:rPr>
              <w:t>单位时间内，抗菌药物使用医嘱、病程记录相</w:t>
            </w:r>
            <w:r>
              <w:rPr>
                <w:color w:val="auto"/>
                <w:spacing w:val="15"/>
                <w:lang w:eastAsia="zh-CN"/>
              </w:rPr>
              <w:t>对应的住院患者病历数占同期使用抗菌药物</w:t>
            </w:r>
            <w:r>
              <w:rPr>
                <w:color w:val="auto"/>
                <w:spacing w:val="8"/>
                <w:lang w:eastAsia="zh-CN"/>
              </w:rPr>
              <w:t>的住院患者病历总数的比例。</w:t>
            </w:r>
          </w:p>
          <w:p>
            <w:pPr>
              <w:pStyle w:val="8"/>
              <w:spacing w:before="0" w:line="240" w:lineRule="exact"/>
              <w:ind w:left="18" w:firstLine="3"/>
              <w:jc w:val="both"/>
              <w:rPr>
                <w:color w:val="auto"/>
                <w:lang w:eastAsia="zh-CN"/>
              </w:rPr>
            </w:pPr>
            <w:r>
              <w:rPr>
                <w:color w:val="auto"/>
                <w:spacing w:val="6"/>
                <w:lang w:eastAsia="zh-CN"/>
              </w:rPr>
              <w:t>说明：</w:t>
            </w:r>
            <w:r>
              <w:rPr>
                <w:rFonts w:ascii="Times New Roman" w:hAnsi="Times New Roman" w:eastAsia="Times New Roman" w:cs="Times New Roman"/>
                <w:color w:val="auto"/>
                <w:spacing w:val="6"/>
                <w:lang w:eastAsia="zh-CN"/>
              </w:rPr>
              <w:t>1.</w:t>
            </w:r>
            <w:r>
              <w:rPr>
                <w:color w:val="auto"/>
                <w:spacing w:val="6"/>
                <w:lang w:eastAsia="zh-CN"/>
              </w:rPr>
              <w:t>抗菌药物使用医嘱、病程记录相对应</w:t>
            </w:r>
            <w:r>
              <w:rPr>
                <w:color w:val="auto"/>
                <w:spacing w:val="5"/>
                <w:lang w:eastAsia="zh-CN"/>
              </w:rPr>
              <w:t>是指在使用抗菌药物治疗的住院患者病历中，</w:t>
            </w:r>
            <w:r>
              <w:rPr>
                <w:color w:val="auto"/>
                <w:spacing w:val="4"/>
                <w:lang w:eastAsia="zh-CN"/>
              </w:rPr>
              <w:t>抗菌药物使用相关医嘱单完整，使用情况在病</w:t>
            </w:r>
            <w:r>
              <w:rPr>
                <w:color w:val="auto"/>
                <w:spacing w:val="7"/>
                <w:lang w:eastAsia="zh-CN"/>
              </w:rPr>
              <w:t>程记录中有相应记录。</w:t>
            </w:r>
          </w:p>
          <w:p>
            <w:pPr>
              <w:pStyle w:val="8"/>
              <w:spacing w:before="0" w:line="240" w:lineRule="exact"/>
              <w:ind w:left="29" w:right="10" w:hanging="12"/>
              <w:rPr>
                <w:color w:val="auto"/>
                <w:lang w:eastAsia="zh-CN"/>
              </w:rPr>
            </w:pPr>
            <w:r>
              <w:rPr>
                <w:rFonts w:ascii="Times New Roman" w:hAnsi="Times New Roman" w:eastAsia="Times New Roman" w:cs="Times New Roman"/>
                <w:color w:val="auto"/>
                <w:spacing w:val="7"/>
                <w:lang w:eastAsia="zh-CN"/>
              </w:rPr>
              <w:t>2.</w:t>
            </w:r>
            <w:r>
              <w:rPr>
                <w:color w:val="auto"/>
                <w:spacing w:val="7"/>
                <w:lang w:eastAsia="zh-CN"/>
              </w:rPr>
              <w:t>抗菌药物的范围见《抗菌药物临床应用管理</w:t>
            </w:r>
            <w:r>
              <w:rPr>
                <w:color w:val="auto"/>
                <w:lang w:eastAsia="zh-CN"/>
              </w:rPr>
              <w:t>办法》。</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bl>
    <w:p>
      <w:pPr>
        <w:spacing w:line="240" w:lineRule="exact"/>
        <w:rPr>
          <w:color w:val="auto"/>
        </w:rPr>
      </w:pPr>
    </w:p>
    <w:p>
      <w:pPr>
        <w:spacing w:line="240" w:lineRule="exact"/>
        <w:rPr>
          <w:color w:val="auto"/>
        </w:rPr>
        <w:sectPr>
          <w:footerReference r:id="rId46"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6" w:right="14" w:hanging="1"/>
              <w:jc w:val="both"/>
              <w:rPr>
                <w:color w:val="auto"/>
                <w:lang w:eastAsia="zh-CN"/>
              </w:rPr>
            </w:pPr>
            <w:r>
              <w:rPr>
                <w:rFonts w:ascii="Times New Roman" w:hAnsi="Times New Roman" w:eastAsia="Times New Roman" w:cs="Times New Roman"/>
                <w:color w:val="auto"/>
                <w:spacing w:val="14"/>
                <w:lang w:eastAsia="zh-CN"/>
              </w:rPr>
              <w:t>2.</w:t>
            </w:r>
            <w:r>
              <w:rPr>
                <w:color w:val="auto"/>
                <w:spacing w:val="14"/>
                <w:lang w:eastAsia="zh-CN"/>
              </w:rPr>
              <w:t>临床用血</w:t>
            </w:r>
            <w:r>
              <w:rPr>
                <w:color w:val="auto"/>
                <w:spacing w:val="15"/>
                <w:lang w:eastAsia="zh-CN"/>
              </w:rPr>
              <w:t>相关记录符</w:t>
            </w:r>
            <w:r>
              <w:rPr>
                <w:color w:val="auto"/>
                <w:spacing w:val="6"/>
                <w:lang w:eastAsia="zh-CN"/>
              </w:rPr>
              <w:t>合率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68"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临床用血相关记录符合的住院</w:t>
            </w:r>
            <w:r>
              <w:rPr>
                <w:color w:val="auto"/>
                <w:spacing w:val="8"/>
                <w:lang w:eastAsia="zh-CN"/>
              </w:rPr>
              <w:t>患者病历数</w:t>
            </w:r>
            <w:r>
              <w:rPr>
                <w:rFonts w:ascii="Times New Roman" w:hAnsi="Times New Roman" w:eastAsia="Times New Roman" w:cs="Times New Roman"/>
                <w:color w:val="auto"/>
                <w:spacing w:val="8"/>
                <w:lang w:eastAsia="zh-CN"/>
              </w:rPr>
              <w:t>/</w:t>
            </w:r>
            <w:r>
              <w:rPr>
                <w:color w:val="auto"/>
                <w:spacing w:val="8"/>
                <w:lang w:eastAsia="zh-CN"/>
              </w:rPr>
              <w:t>同期存在临床用血的</w:t>
            </w:r>
            <w:r>
              <w:rPr>
                <w:color w:val="auto"/>
                <w:spacing w:val="5"/>
                <w:lang w:eastAsia="zh-CN"/>
              </w:rPr>
              <w:t>住院患者病历总数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21" w:right="10" w:firstLine="4"/>
              <w:jc w:val="both"/>
              <w:rPr>
                <w:color w:val="auto"/>
                <w:lang w:eastAsia="zh-CN"/>
              </w:rPr>
            </w:pPr>
            <w:r>
              <w:rPr>
                <w:color w:val="auto"/>
                <w:spacing w:val="4"/>
                <w:lang w:eastAsia="zh-CN"/>
              </w:rPr>
              <w:t>单位时间内，临床用血相关记录符合的住院患</w:t>
            </w:r>
            <w:r>
              <w:rPr>
                <w:color w:val="auto"/>
                <w:spacing w:val="15"/>
                <w:lang w:eastAsia="zh-CN"/>
              </w:rPr>
              <w:t>者病历数占同期存在临床用血的住院患者病</w:t>
            </w:r>
            <w:r>
              <w:rPr>
                <w:color w:val="auto"/>
                <w:spacing w:val="7"/>
                <w:lang w:eastAsia="zh-CN"/>
              </w:rPr>
              <w:t>历总数的比例。</w:t>
            </w:r>
          </w:p>
          <w:p>
            <w:pPr>
              <w:pStyle w:val="8"/>
              <w:spacing w:before="0" w:line="240" w:lineRule="exact"/>
              <w:ind w:left="21" w:right="10"/>
              <w:jc w:val="both"/>
              <w:rPr>
                <w:color w:val="auto"/>
                <w:lang w:eastAsia="zh-CN"/>
              </w:rPr>
            </w:pPr>
            <w:r>
              <w:rPr>
                <w:color w:val="auto"/>
                <w:spacing w:val="5"/>
                <w:lang w:eastAsia="zh-CN"/>
              </w:rPr>
              <w:t>说明：临床用血相关记录符合是指输血知情同意书、医嘱、输血记录单等相关内容符合《病历书写基本规范》、《医疗机构临床用血管理</w:t>
            </w:r>
            <w:r>
              <w:rPr>
                <w:color w:val="auto"/>
                <w:spacing w:val="7"/>
                <w:lang w:eastAsia="zh-CN"/>
              </w:rPr>
              <w:t>办法》等文件要求。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269" w:type="dxa"/>
            <w:vMerge w:val="continue"/>
            <w:tcBorders>
              <w:top w:val="nil"/>
              <w:bottom w:val="nil"/>
            </w:tcBorders>
          </w:tcPr>
          <w:p>
            <w:pPr>
              <w:spacing w:line="240" w:lineRule="exact"/>
              <w:rPr>
                <w:color w:val="auto"/>
              </w:rPr>
            </w:pP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 w:right="80" w:hanging="5"/>
              <w:jc w:val="both"/>
              <w:rPr>
                <w:color w:val="auto"/>
                <w:lang w:eastAsia="zh-CN"/>
              </w:rPr>
            </w:pPr>
            <w:r>
              <w:rPr>
                <w:color w:val="auto"/>
                <w:spacing w:val="8"/>
                <w:lang w:eastAsia="zh-CN"/>
              </w:rPr>
              <w:t>（五）病</w:t>
            </w:r>
            <w:r>
              <w:rPr>
                <w:color w:val="auto"/>
                <w:spacing w:val="7"/>
                <w:lang w:eastAsia="zh-CN"/>
              </w:rPr>
              <w:t>案首页填报正确率</w:t>
            </w:r>
            <w:r>
              <w:rPr>
                <w:color w:val="auto"/>
                <w:spacing w:val="4"/>
                <w:lang w:eastAsia="zh-CN"/>
              </w:rPr>
              <w:t>指标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14" w:firstLine="15"/>
              <w:rPr>
                <w:color w:val="auto"/>
              </w:rPr>
            </w:pPr>
            <w:r>
              <w:rPr>
                <w:rFonts w:ascii="Times New Roman" w:hAnsi="Times New Roman" w:eastAsia="Times New Roman" w:cs="Times New Roman"/>
                <w:color w:val="auto"/>
                <w:spacing w:val="11"/>
              </w:rPr>
              <w:t>1.</w:t>
            </w:r>
            <w:r>
              <w:rPr>
                <w:color w:val="auto"/>
                <w:spacing w:val="11"/>
              </w:rPr>
              <w:t>主要诊断</w:t>
            </w:r>
            <w:r>
              <w:rPr>
                <w:color w:val="auto"/>
                <w:spacing w:val="8"/>
              </w:rPr>
              <w:t>填写正确率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68"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病案首页中主要诊断填写正确</w:t>
            </w:r>
            <w:r>
              <w:rPr>
                <w:color w:val="auto"/>
                <w:spacing w:val="8"/>
                <w:lang w:eastAsia="zh-CN"/>
              </w:rPr>
              <w:t>的出院患者病历数</w:t>
            </w:r>
            <w:r>
              <w:rPr>
                <w:rFonts w:ascii="Times New Roman" w:hAnsi="Times New Roman" w:eastAsia="Times New Roman" w:cs="Times New Roman"/>
                <w:color w:val="auto"/>
                <w:spacing w:val="8"/>
                <w:lang w:eastAsia="zh-CN"/>
              </w:rPr>
              <w:t>/</w:t>
            </w:r>
            <w:r>
              <w:rPr>
                <w:color w:val="auto"/>
                <w:spacing w:val="8"/>
                <w:lang w:eastAsia="zh-CN"/>
              </w:rPr>
              <w:t>同期出院患者</w:t>
            </w:r>
            <w:r>
              <w:rPr>
                <w:color w:val="auto"/>
                <w:spacing w:val="3"/>
                <w:lang w:eastAsia="zh-CN"/>
              </w:rPr>
              <w:t>病历总数</w:t>
            </w:r>
            <w:r>
              <w:rPr>
                <w:rFonts w:ascii="Times New Roman" w:hAnsi="Times New Roman" w:eastAsia="Times New Roman" w:cs="Times New Roman"/>
                <w:color w:val="auto"/>
                <w:spacing w:val="3"/>
                <w:lang w:eastAsia="zh-CN"/>
              </w:rPr>
              <w:t>×100%</w:t>
            </w:r>
          </w:p>
        </w:tc>
        <w:tc>
          <w:tcPr>
            <w:tcW w:w="3943" w:type="dxa"/>
          </w:tcPr>
          <w:p>
            <w:pPr>
              <w:pStyle w:val="8"/>
              <w:spacing w:before="0" w:line="240" w:lineRule="exact"/>
              <w:ind w:left="46" w:right="10" w:hanging="20"/>
              <w:jc w:val="both"/>
              <w:rPr>
                <w:color w:val="auto"/>
                <w:lang w:eastAsia="zh-CN"/>
              </w:rPr>
            </w:pPr>
            <w:r>
              <w:rPr>
                <w:color w:val="auto"/>
                <w:spacing w:val="4"/>
                <w:lang w:eastAsia="zh-CN"/>
              </w:rPr>
              <w:t>单位时间内，病案首页中主要诊断填写正确的</w:t>
            </w:r>
            <w:r>
              <w:rPr>
                <w:color w:val="auto"/>
                <w:spacing w:val="14"/>
                <w:lang w:eastAsia="zh-CN"/>
              </w:rPr>
              <w:t>出院患者病历数占同期出院患者病历总数的</w:t>
            </w:r>
            <w:r>
              <w:rPr>
                <w:color w:val="auto"/>
                <w:spacing w:val="-6"/>
                <w:lang w:eastAsia="zh-CN"/>
              </w:rPr>
              <w:t>比例。</w:t>
            </w:r>
          </w:p>
          <w:p>
            <w:pPr>
              <w:pStyle w:val="8"/>
              <w:spacing w:before="0" w:line="240" w:lineRule="exact"/>
              <w:ind w:left="18" w:firstLine="3"/>
              <w:jc w:val="both"/>
              <w:rPr>
                <w:color w:val="auto"/>
                <w:lang w:eastAsia="zh-CN"/>
              </w:rPr>
            </w:pPr>
            <w:r>
              <w:rPr>
                <w:color w:val="auto"/>
                <w:spacing w:val="3"/>
                <w:lang w:eastAsia="zh-CN"/>
              </w:rPr>
              <w:t>说明：主要诊断填写正确是指主要诊断填写符</w:t>
            </w:r>
            <w:r>
              <w:rPr>
                <w:color w:val="auto"/>
                <w:spacing w:val="5"/>
                <w:lang w:eastAsia="zh-CN"/>
              </w:rPr>
              <w:t>合《卫生部关于修订住院病案首页的通知》、</w:t>
            </w:r>
            <w:r>
              <w:rPr>
                <w:color w:val="auto"/>
                <w:spacing w:val="14"/>
                <w:lang w:eastAsia="zh-CN"/>
              </w:rPr>
              <w:t>《国家卫生计生委办公厅关于印发住院病案</w:t>
            </w:r>
            <w:r>
              <w:rPr>
                <w:color w:val="auto"/>
                <w:spacing w:val="6"/>
                <w:lang w:eastAsia="zh-CN"/>
              </w:rPr>
              <w:t>首页数据填写质量规范</w:t>
            </w:r>
            <w:r>
              <w:rPr>
                <w:rFonts w:ascii="Times New Roman" w:hAnsi="Times New Roman" w:eastAsia="Times New Roman" w:cs="Times New Roman"/>
                <w:color w:val="auto"/>
                <w:spacing w:val="6"/>
                <w:lang w:eastAsia="zh-CN"/>
              </w:rPr>
              <w:t>(</w:t>
            </w:r>
            <w:r>
              <w:rPr>
                <w:color w:val="auto"/>
                <w:spacing w:val="6"/>
                <w:lang w:eastAsia="zh-CN"/>
              </w:rPr>
              <w:t>暂行</w:t>
            </w:r>
            <w:r>
              <w:rPr>
                <w:rFonts w:ascii="Times New Roman" w:hAnsi="Times New Roman" w:eastAsia="Times New Roman" w:cs="Times New Roman"/>
                <w:color w:val="auto"/>
                <w:spacing w:val="6"/>
                <w:lang w:eastAsia="zh-CN"/>
              </w:rPr>
              <w:t>)</w:t>
            </w:r>
            <w:r>
              <w:rPr>
                <w:color w:val="auto"/>
                <w:spacing w:val="6"/>
                <w:lang w:eastAsia="zh-CN"/>
              </w:rPr>
              <w:t>》要求。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8" w:right="14" w:hanging="3"/>
              <w:rPr>
                <w:color w:val="auto"/>
              </w:rPr>
            </w:pPr>
            <w:r>
              <w:rPr>
                <w:rFonts w:ascii="Times New Roman" w:hAnsi="Times New Roman" w:eastAsia="Times New Roman" w:cs="Times New Roman"/>
                <w:color w:val="auto"/>
                <w:spacing w:val="14"/>
              </w:rPr>
              <w:t>2.</w:t>
            </w:r>
            <w:r>
              <w:rPr>
                <w:color w:val="auto"/>
                <w:spacing w:val="14"/>
              </w:rPr>
              <w:t>主要诊断</w:t>
            </w:r>
            <w:r>
              <w:rPr>
                <w:color w:val="auto"/>
                <w:spacing w:val="8"/>
              </w:rPr>
              <w:t>编码正确率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68"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病案首页中主要诊断编码正确</w:t>
            </w:r>
            <w:r>
              <w:rPr>
                <w:color w:val="auto"/>
                <w:spacing w:val="8"/>
                <w:lang w:eastAsia="zh-CN"/>
              </w:rPr>
              <w:t>的出院患者病历数</w:t>
            </w:r>
            <w:r>
              <w:rPr>
                <w:rFonts w:ascii="Times New Roman" w:hAnsi="Times New Roman" w:eastAsia="Times New Roman" w:cs="Times New Roman"/>
                <w:color w:val="auto"/>
                <w:spacing w:val="8"/>
                <w:lang w:eastAsia="zh-CN"/>
              </w:rPr>
              <w:t>/</w:t>
            </w:r>
            <w:r>
              <w:rPr>
                <w:color w:val="auto"/>
                <w:spacing w:val="8"/>
                <w:lang w:eastAsia="zh-CN"/>
              </w:rPr>
              <w:t>同期出院患者</w:t>
            </w:r>
            <w:r>
              <w:rPr>
                <w:color w:val="auto"/>
                <w:spacing w:val="3"/>
                <w:lang w:eastAsia="zh-CN"/>
              </w:rPr>
              <w:t>病历总数</w:t>
            </w:r>
            <w:r>
              <w:rPr>
                <w:rFonts w:ascii="Times New Roman" w:hAnsi="Times New Roman" w:eastAsia="Times New Roman" w:cs="Times New Roman"/>
                <w:color w:val="auto"/>
                <w:spacing w:val="3"/>
                <w:lang w:eastAsia="zh-CN"/>
              </w:rPr>
              <w:t>×100%</w:t>
            </w:r>
          </w:p>
        </w:tc>
        <w:tc>
          <w:tcPr>
            <w:tcW w:w="3943" w:type="dxa"/>
          </w:tcPr>
          <w:p>
            <w:pPr>
              <w:spacing w:line="240" w:lineRule="exact"/>
              <w:rPr>
                <w:color w:val="auto"/>
                <w:lang w:eastAsia="zh-CN"/>
              </w:rPr>
            </w:pPr>
          </w:p>
          <w:p>
            <w:pPr>
              <w:pStyle w:val="8"/>
              <w:spacing w:before="0" w:line="240" w:lineRule="exact"/>
              <w:ind w:left="46" w:right="10" w:hanging="20"/>
              <w:jc w:val="both"/>
              <w:rPr>
                <w:color w:val="auto"/>
                <w:lang w:eastAsia="zh-CN"/>
              </w:rPr>
            </w:pPr>
            <w:r>
              <w:rPr>
                <w:color w:val="auto"/>
                <w:spacing w:val="4"/>
                <w:lang w:eastAsia="zh-CN"/>
              </w:rPr>
              <w:t>单位时间内，病案首页中主要诊断编码正确的</w:t>
            </w:r>
            <w:r>
              <w:rPr>
                <w:color w:val="auto"/>
                <w:spacing w:val="14"/>
                <w:lang w:eastAsia="zh-CN"/>
              </w:rPr>
              <w:t>出院患者病历数占同期出院患者病历总数的</w:t>
            </w:r>
            <w:r>
              <w:rPr>
                <w:color w:val="auto"/>
                <w:spacing w:val="-6"/>
                <w:lang w:eastAsia="zh-CN"/>
              </w:rPr>
              <w:t>比例。</w:t>
            </w:r>
          </w:p>
          <w:p>
            <w:pPr>
              <w:pStyle w:val="8"/>
              <w:spacing w:before="0" w:line="240" w:lineRule="exact"/>
              <w:ind w:left="23" w:right="12" w:hanging="2"/>
              <w:jc w:val="both"/>
              <w:rPr>
                <w:color w:val="auto"/>
                <w:lang w:eastAsia="zh-CN"/>
              </w:rPr>
            </w:pPr>
            <w:r>
              <w:rPr>
                <w:color w:val="auto"/>
                <w:spacing w:val="5"/>
                <w:lang w:eastAsia="zh-CN"/>
              </w:rPr>
              <w:t>说明：主要诊断编码正确是指主要诊断编码符合国家统一发布的最新的《疾病分类与代码国</w:t>
            </w:r>
            <w:r>
              <w:rPr>
                <w:color w:val="auto"/>
                <w:spacing w:val="7"/>
                <w:lang w:eastAsia="zh-CN"/>
              </w:rPr>
              <w:t>家临床版》要求。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47"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8" w:right="14"/>
              <w:rPr>
                <w:color w:val="auto"/>
              </w:rPr>
            </w:pPr>
            <w:r>
              <w:rPr>
                <w:rFonts w:ascii="Times New Roman" w:hAnsi="Times New Roman" w:eastAsia="Times New Roman" w:cs="Times New Roman"/>
                <w:color w:val="auto"/>
                <w:spacing w:val="14"/>
              </w:rPr>
              <w:t>3.</w:t>
            </w:r>
            <w:r>
              <w:rPr>
                <w:color w:val="auto"/>
                <w:spacing w:val="14"/>
              </w:rPr>
              <w:t>主要手术</w:t>
            </w:r>
            <w:r>
              <w:rPr>
                <w:color w:val="auto"/>
                <w:spacing w:val="8"/>
              </w:rPr>
              <w:t>填写正确率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ight="68"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病案首页中主要手术填写正确</w:t>
            </w:r>
            <w:r>
              <w:rPr>
                <w:color w:val="auto"/>
                <w:spacing w:val="8"/>
                <w:lang w:eastAsia="zh-CN"/>
              </w:rPr>
              <w:t>的出院患者病历数</w:t>
            </w:r>
            <w:r>
              <w:rPr>
                <w:rFonts w:ascii="Times New Roman" w:hAnsi="Times New Roman" w:eastAsia="Times New Roman" w:cs="Times New Roman"/>
                <w:color w:val="auto"/>
                <w:spacing w:val="8"/>
                <w:lang w:eastAsia="zh-CN"/>
              </w:rPr>
              <w:t>/</w:t>
            </w:r>
            <w:r>
              <w:rPr>
                <w:color w:val="auto"/>
                <w:spacing w:val="8"/>
                <w:lang w:eastAsia="zh-CN"/>
              </w:rPr>
              <w:t>同期出院手术</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26" w:right="10"/>
              <w:jc w:val="both"/>
              <w:rPr>
                <w:color w:val="auto"/>
                <w:lang w:eastAsia="zh-CN"/>
              </w:rPr>
            </w:pPr>
            <w:r>
              <w:rPr>
                <w:color w:val="auto"/>
                <w:spacing w:val="4"/>
                <w:lang w:eastAsia="zh-CN"/>
              </w:rPr>
              <w:t>单位时间内，病案首页中主要手术填写正确的</w:t>
            </w:r>
            <w:r>
              <w:rPr>
                <w:color w:val="auto"/>
                <w:spacing w:val="15"/>
                <w:lang w:eastAsia="zh-CN"/>
              </w:rPr>
              <w:t>出院患者病历数占同期出院手术患者病历总</w:t>
            </w:r>
            <w:r>
              <w:rPr>
                <w:color w:val="auto"/>
                <w:spacing w:val="5"/>
                <w:lang w:eastAsia="zh-CN"/>
              </w:rPr>
              <w:t>数的比例。</w:t>
            </w:r>
          </w:p>
          <w:p>
            <w:pPr>
              <w:pStyle w:val="8"/>
              <w:spacing w:before="0" w:line="240" w:lineRule="exact"/>
              <w:ind w:left="22" w:right="7" w:hanging="1"/>
              <w:jc w:val="both"/>
              <w:rPr>
                <w:color w:val="auto"/>
                <w:lang w:eastAsia="zh-CN"/>
              </w:rPr>
            </w:pPr>
            <w:r>
              <w:rPr>
                <w:color w:val="auto"/>
                <w:spacing w:val="5"/>
                <w:lang w:eastAsia="zh-CN"/>
              </w:rPr>
              <w:t>说明：主要手术操作填写正确是指主要手术填</w:t>
            </w:r>
            <w:r>
              <w:rPr>
                <w:color w:val="auto"/>
                <w:spacing w:val="15"/>
                <w:lang w:eastAsia="zh-CN"/>
              </w:rPr>
              <w:t>写符合《卫生部关于修订住院病案首页的通</w:t>
            </w:r>
            <w:r>
              <w:rPr>
                <w:color w:val="auto"/>
                <w:spacing w:val="5"/>
                <w:lang w:eastAsia="zh-CN"/>
              </w:rPr>
              <w:t>知》、《国家卫生计生委办公厅关于印发住院</w:t>
            </w:r>
            <w:r>
              <w:rPr>
                <w:color w:val="auto"/>
                <w:spacing w:val="17"/>
                <w:lang w:eastAsia="zh-CN"/>
              </w:rPr>
              <w:t>病案首页数据填写质量规范</w:t>
            </w:r>
            <w:r>
              <w:rPr>
                <w:rFonts w:ascii="Times New Roman" w:hAnsi="Times New Roman" w:eastAsia="Times New Roman" w:cs="Times New Roman"/>
                <w:color w:val="auto"/>
                <w:spacing w:val="17"/>
                <w:lang w:eastAsia="zh-CN"/>
              </w:rPr>
              <w:t>(</w:t>
            </w:r>
            <w:r>
              <w:rPr>
                <w:color w:val="auto"/>
                <w:spacing w:val="17"/>
                <w:lang w:eastAsia="zh-CN"/>
              </w:rPr>
              <w:t>暂行</w:t>
            </w:r>
            <w:r>
              <w:rPr>
                <w:rFonts w:ascii="Times New Roman" w:hAnsi="Times New Roman" w:eastAsia="Times New Roman" w:cs="Times New Roman"/>
                <w:color w:val="auto"/>
                <w:spacing w:val="17"/>
                <w:lang w:eastAsia="zh-CN"/>
              </w:rPr>
              <w:t>)</w:t>
            </w:r>
            <w:r>
              <w:rPr>
                <w:color w:val="auto"/>
                <w:spacing w:val="17"/>
                <w:lang w:eastAsia="zh-CN"/>
              </w:rPr>
              <w:t>》相关要</w:t>
            </w:r>
            <w:r>
              <w:rPr>
                <w:color w:val="auto"/>
                <w:spacing w:val="-1"/>
                <w:lang w:eastAsia="zh-CN"/>
              </w:rPr>
              <w:t>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rPr>
            </w:pPr>
          </w:p>
          <w:p>
            <w:pPr>
              <w:spacing w:line="240" w:lineRule="exact"/>
              <w:rPr>
                <w:color w:val="auto"/>
              </w:rPr>
            </w:pPr>
          </w:p>
          <w:p>
            <w:pPr>
              <w:spacing w:line="240" w:lineRule="exact"/>
              <w:rPr>
                <w:color w:val="auto"/>
              </w:rPr>
            </w:pPr>
          </w:p>
          <w:p>
            <w:pPr>
              <w:pStyle w:val="8"/>
              <w:spacing w:before="0" w:line="240" w:lineRule="exact"/>
              <w:ind w:left="18" w:right="14" w:hanging="4"/>
              <w:rPr>
                <w:color w:val="auto"/>
              </w:rPr>
            </w:pPr>
            <w:r>
              <w:rPr>
                <w:rFonts w:ascii="Times New Roman" w:hAnsi="Times New Roman" w:eastAsia="Times New Roman" w:cs="Times New Roman"/>
                <w:color w:val="auto"/>
                <w:spacing w:val="14"/>
              </w:rPr>
              <w:t>4.</w:t>
            </w:r>
            <w:r>
              <w:rPr>
                <w:color w:val="auto"/>
                <w:spacing w:val="14"/>
              </w:rPr>
              <w:t>主要手术</w:t>
            </w:r>
            <w:r>
              <w:rPr>
                <w:color w:val="auto"/>
                <w:spacing w:val="8"/>
              </w:rPr>
              <w:t>编码正确率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ight="68"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病案首页中主要手术编码正确</w:t>
            </w:r>
            <w:r>
              <w:rPr>
                <w:color w:val="auto"/>
                <w:spacing w:val="8"/>
                <w:lang w:eastAsia="zh-CN"/>
              </w:rPr>
              <w:t>的出院患者病历数</w:t>
            </w:r>
            <w:r>
              <w:rPr>
                <w:rFonts w:ascii="Times New Roman" w:hAnsi="Times New Roman" w:eastAsia="Times New Roman" w:cs="Times New Roman"/>
                <w:color w:val="auto"/>
                <w:spacing w:val="8"/>
                <w:lang w:eastAsia="zh-CN"/>
              </w:rPr>
              <w:t>/</w:t>
            </w:r>
            <w:r>
              <w:rPr>
                <w:color w:val="auto"/>
                <w:spacing w:val="8"/>
                <w:lang w:eastAsia="zh-CN"/>
              </w:rPr>
              <w:t>同期出院手术</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26" w:right="10"/>
              <w:jc w:val="both"/>
              <w:rPr>
                <w:color w:val="auto"/>
                <w:lang w:eastAsia="zh-CN"/>
              </w:rPr>
            </w:pPr>
            <w:r>
              <w:rPr>
                <w:color w:val="auto"/>
                <w:spacing w:val="4"/>
                <w:lang w:eastAsia="zh-CN"/>
              </w:rPr>
              <w:t>单位时间内，病案首页中主要手术编码正确的</w:t>
            </w:r>
            <w:r>
              <w:rPr>
                <w:color w:val="auto"/>
                <w:spacing w:val="15"/>
                <w:lang w:eastAsia="zh-CN"/>
              </w:rPr>
              <w:t>出院患者病历数占同期出院手术患者病历总</w:t>
            </w:r>
            <w:r>
              <w:rPr>
                <w:color w:val="auto"/>
                <w:spacing w:val="5"/>
                <w:lang w:eastAsia="zh-CN"/>
              </w:rPr>
              <w:t>数的比例。</w:t>
            </w:r>
          </w:p>
          <w:p>
            <w:pPr>
              <w:pStyle w:val="8"/>
              <w:spacing w:before="0" w:line="240" w:lineRule="exact"/>
              <w:ind w:left="23" w:right="12" w:hanging="2"/>
              <w:jc w:val="both"/>
              <w:rPr>
                <w:color w:val="auto"/>
                <w:lang w:eastAsia="zh-CN"/>
              </w:rPr>
            </w:pPr>
            <w:r>
              <w:rPr>
                <w:color w:val="auto"/>
                <w:spacing w:val="5"/>
                <w:lang w:eastAsia="zh-CN"/>
              </w:rPr>
              <w:t>说明：主要手术编码正确是指主要手术编码符合国家统一发布的最新的《手术操作与分类代</w:t>
            </w:r>
            <w:r>
              <w:rPr>
                <w:color w:val="auto"/>
                <w:spacing w:val="8"/>
                <w:lang w:eastAsia="zh-CN"/>
              </w:rPr>
              <w:t>码国家临床版》有关要求。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1" w:hRule="atLeast"/>
        </w:trPr>
        <w:tc>
          <w:tcPr>
            <w:tcW w:w="1269" w:type="dxa"/>
            <w:vMerge w:val="continue"/>
            <w:tcBorders>
              <w:top w:val="nil"/>
              <w:bottom w:val="nil"/>
            </w:tcBorders>
          </w:tcPr>
          <w:p>
            <w:pPr>
              <w:spacing w:line="240" w:lineRule="exact"/>
              <w:rPr>
                <w:color w:val="auto"/>
              </w:rPr>
            </w:pPr>
          </w:p>
        </w:tc>
        <w:tc>
          <w:tcPr>
            <w:tcW w:w="895" w:type="dxa"/>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80" w:hanging="3"/>
              <w:jc w:val="both"/>
              <w:rPr>
                <w:color w:val="auto"/>
                <w:lang w:eastAsia="zh-CN"/>
              </w:rPr>
            </w:pPr>
            <w:r>
              <w:rPr>
                <w:color w:val="auto"/>
                <w:spacing w:val="8"/>
                <w:lang w:eastAsia="zh-CN"/>
              </w:rPr>
              <w:t>（六）病</w:t>
            </w:r>
            <w:r>
              <w:rPr>
                <w:color w:val="auto"/>
                <w:spacing w:val="7"/>
                <w:lang w:eastAsia="zh-CN"/>
              </w:rPr>
              <w:t>历归档质量指标</w:t>
            </w: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 w:right="14" w:firstLine="13"/>
              <w:jc w:val="both"/>
              <w:rPr>
                <w:color w:val="auto"/>
                <w:lang w:eastAsia="zh-CN"/>
              </w:rPr>
            </w:pPr>
            <w:r>
              <w:rPr>
                <w:rFonts w:ascii="Times New Roman" w:hAnsi="Times New Roman" w:eastAsia="Times New Roman" w:cs="Times New Roman"/>
                <w:color w:val="auto"/>
                <w:spacing w:val="8"/>
                <w:lang w:eastAsia="zh-CN"/>
              </w:rPr>
              <w:t>1.</w:t>
            </w:r>
            <w:r>
              <w:rPr>
                <w:color w:val="auto"/>
                <w:spacing w:val="8"/>
                <w:lang w:eastAsia="zh-CN"/>
              </w:rPr>
              <w:t>出院患者</w:t>
            </w:r>
            <w:r>
              <w:rPr>
                <w:color w:val="auto"/>
                <w:spacing w:val="14"/>
                <w:lang w:eastAsia="zh-CN"/>
              </w:rPr>
              <w:t>病历归档完</w:t>
            </w:r>
            <w:r>
              <w:rPr>
                <w:color w:val="auto"/>
                <w:spacing w:val="4"/>
                <w:lang w:eastAsia="zh-CN"/>
              </w:rPr>
              <w:t>整率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2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归档病历内容完整的出院患者</w:t>
            </w:r>
            <w:r>
              <w:rPr>
                <w:color w:val="auto"/>
                <w:spacing w:val="8"/>
                <w:lang w:eastAsia="zh-CN"/>
              </w:rPr>
              <w:t>病历数</w:t>
            </w:r>
            <w:r>
              <w:rPr>
                <w:rFonts w:ascii="Times New Roman" w:hAnsi="Times New Roman" w:eastAsia="Times New Roman" w:cs="Times New Roman"/>
                <w:color w:val="auto"/>
                <w:spacing w:val="8"/>
                <w:lang w:eastAsia="zh-CN"/>
              </w:rPr>
              <w:t>/</w:t>
            </w:r>
            <w:r>
              <w:rPr>
                <w:color w:val="auto"/>
                <w:spacing w:val="8"/>
                <w:lang w:eastAsia="zh-CN"/>
              </w:rPr>
              <w:t>同期出院患者病历总数</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21" w:right="12" w:firstLine="4"/>
              <w:rPr>
                <w:color w:val="auto"/>
                <w:lang w:eastAsia="zh-CN"/>
              </w:rPr>
            </w:pPr>
            <w:r>
              <w:rPr>
                <w:color w:val="auto"/>
                <w:spacing w:val="4"/>
                <w:lang w:eastAsia="zh-CN"/>
              </w:rPr>
              <w:t>单位时间内，归档病历内容完整的出院患者病</w:t>
            </w:r>
            <w:r>
              <w:rPr>
                <w:color w:val="auto"/>
                <w:spacing w:val="8"/>
                <w:lang w:eastAsia="zh-CN"/>
              </w:rPr>
              <w:t>历数占同期出院患者病历总数的比例。</w:t>
            </w:r>
          </w:p>
          <w:p>
            <w:pPr>
              <w:pStyle w:val="8"/>
              <w:spacing w:before="0" w:line="240" w:lineRule="exact"/>
              <w:ind w:left="18" w:right="10" w:firstLine="3"/>
              <w:jc w:val="both"/>
              <w:rPr>
                <w:color w:val="auto"/>
                <w:lang w:eastAsia="zh-CN"/>
              </w:rPr>
            </w:pPr>
            <w:r>
              <w:rPr>
                <w:color w:val="auto"/>
                <w:spacing w:val="15"/>
                <w:lang w:eastAsia="zh-CN"/>
              </w:rPr>
              <w:t>说明：病历内容完整是指归档病历内容符合</w:t>
            </w:r>
            <w:r>
              <w:rPr>
                <w:color w:val="auto"/>
                <w:spacing w:val="8"/>
                <w:lang w:eastAsia="zh-CN"/>
              </w:rPr>
              <w:t>《病历书写基本规范》</w:t>
            </w:r>
            <w:r>
              <w:rPr>
                <w:rFonts w:ascii="Times New Roman" w:hAnsi="Times New Roman" w:eastAsia="Times New Roman" w:cs="Times New Roman"/>
                <w:color w:val="auto"/>
                <w:spacing w:val="8"/>
                <w:lang w:eastAsia="zh-CN"/>
              </w:rPr>
              <w:t>(</w:t>
            </w:r>
            <w:r>
              <w:rPr>
                <w:color w:val="auto"/>
                <w:spacing w:val="8"/>
                <w:lang w:eastAsia="zh-CN"/>
              </w:rPr>
              <w:t>卫医政发〔</w:t>
            </w:r>
            <w:r>
              <w:rPr>
                <w:rFonts w:ascii="Times New Roman" w:hAnsi="Times New Roman" w:eastAsia="Times New Roman" w:cs="Times New Roman"/>
                <w:color w:val="auto"/>
                <w:spacing w:val="8"/>
                <w:lang w:eastAsia="zh-CN"/>
              </w:rPr>
              <w:t>2010</w:t>
            </w:r>
            <w:r>
              <w:rPr>
                <w:color w:val="auto"/>
                <w:spacing w:val="8"/>
                <w:lang w:eastAsia="zh-CN"/>
              </w:rPr>
              <w:t>〕</w:t>
            </w:r>
            <w:r>
              <w:rPr>
                <w:rFonts w:ascii="Times New Roman" w:hAnsi="Times New Roman" w:eastAsia="Times New Roman" w:cs="Times New Roman"/>
                <w:color w:val="auto"/>
                <w:spacing w:val="8"/>
                <w:lang w:eastAsia="zh-CN"/>
              </w:rPr>
              <w:t>11</w:t>
            </w:r>
            <w:r>
              <w:rPr>
                <w:color w:val="auto"/>
                <w:spacing w:val="4"/>
                <w:lang w:eastAsia="zh-CN"/>
              </w:rPr>
              <w:t>号</w:t>
            </w:r>
            <w:r>
              <w:rPr>
                <w:rFonts w:ascii="Times New Roman" w:hAnsi="Times New Roman" w:eastAsia="Times New Roman" w:cs="Times New Roman"/>
                <w:color w:val="auto"/>
                <w:spacing w:val="4"/>
                <w:lang w:eastAsia="zh-CN"/>
              </w:rPr>
              <w:t>)</w:t>
            </w:r>
            <w:r>
              <w:rPr>
                <w:color w:val="auto"/>
                <w:spacing w:val="4"/>
                <w:lang w:eastAsia="zh-CN"/>
              </w:rPr>
              <w:t>要求。</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48"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bookmarkStart w:id="2" w:name="bookmark9"/>
            <w:bookmarkEnd w:id="2"/>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269" w:type="dxa"/>
            <w:vMerge w:val="restart"/>
            <w:tcBorders>
              <w:bottom w:val="nil"/>
            </w:tcBorders>
          </w:tcPr>
          <w:p>
            <w:pPr>
              <w:spacing w:line="240" w:lineRule="exact"/>
              <w:rPr>
                <w:color w:val="auto"/>
              </w:rPr>
            </w:pPr>
          </w:p>
        </w:tc>
        <w:tc>
          <w:tcPr>
            <w:tcW w:w="895" w:type="dxa"/>
            <w:vMerge w:val="restart"/>
            <w:tcBorders>
              <w:bottom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14" w:hanging="9"/>
              <w:jc w:val="both"/>
              <w:rPr>
                <w:color w:val="auto"/>
                <w:lang w:eastAsia="zh-CN"/>
              </w:rPr>
            </w:pPr>
            <w:r>
              <w:rPr>
                <w:rFonts w:ascii="Times New Roman" w:hAnsi="Times New Roman" w:eastAsia="Times New Roman" w:cs="Times New Roman"/>
                <w:color w:val="auto"/>
                <w:spacing w:val="15"/>
                <w:lang w:eastAsia="zh-CN"/>
              </w:rPr>
              <w:t>2.</w:t>
            </w:r>
            <w:r>
              <w:rPr>
                <w:color w:val="auto"/>
                <w:spacing w:val="15"/>
                <w:lang w:eastAsia="zh-CN"/>
              </w:rPr>
              <w:t>不合理复</w:t>
            </w:r>
            <w:r>
              <w:rPr>
                <w:color w:val="auto"/>
                <w:spacing w:val="13"/>
                <w:lang w:eastAsia="zh-CN"/>
              </w:rPr>
              <w:t>制病历发生</w:t>
            </w:r>
            <w:r>
              <w:rPr>
                <w:color w:val="auto"/>
                <w:lang w:eastAsia="zh-CN"/>
              </w:rPr>
              <w:t>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3" w:right="68" w:hanging="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出现不合理复制病历内容的出</w:t>
            </w:r>
            <w:r>
              <w:rPr>
                <w:color w:val="auto"/>
                <w:spacing w:val="7"/>
                <w:lang w:eastAsia="zh-CN"/>
              </w:rPr>
              <w:t>院患者病历数</w:t>
            </w:r>
            <w:r>
              <w:rPr>
                <w:rFonts w:ascii="Times New Roman" w:hAnsi="Times New Roman" w:eastAsia="Times New Roman" w:cs="Times New Roman"/>
                <w:color w:val="auto"/>
                <w:spacing w:val="7"/>
                <w:lang w:eastAsia="zh-CN"/>
              </w:rPr>
              <w:t>/</w:t>
            </w:r>
            <w:r>
              <w:rPr>
                <w:color w:val="auto"/>
                <w:spacing w:val="7"/>
                <w:lang w:eastAsia="zh-CN"/>
              </w:rPr>
              <w:t>同期出院患者病历</w:t>
            </w:r>
            <w:r>
              <w:rPr>
                <w:color w:val="auto"/>
                <w:lang w:eastAsia="zh-CN"/>
              </w:rPr>
              <w:t>总数</w:t>
            </w:r>
            <w:r>
              <w:rPr>
                <w:rFonts w:ascii="Times New Roman" w:hAnsi="Times New Roman" w:eastAsia="Times New Roman" w:cs="Times New Roman"/>
                <w:color w:val="auto"/>
                <w:lang w:eastAsia="zh-CN"/>
              </w:rPr>
              <w:t>×100%</w:t>
            </w:r>
          </w:p>
        </w:tc>
        <w:tc>
          <w:tcPr>
            <w:tcW w:w="3943" w:type="dxa"/>
          </w:tcPr>
          <w:p>
            <w:pPr>
              <w:pStyle w:val="8"/>
              <w:spacing w:before="0" w:line="240" w:lineRule="exact"/>
              <w:ind w:left="20" w:firstLine="5"/>
              <w:jc w:val="both"/>
              <w:rPr>
                <w:color w:val="auto"/>
                <w:lang w:eastAsia="zh-CN"/>
              </w:rPr>
            </w:pPr>
            <w:r>
              <w:rPr>
                <w:color w:val="auto"/>
                <w:spacing w:val="3"/>
                <w:lang w:eastAsia="zh-CN"/>
              </w:rPr>
              <w:t>单位时间内，出现不合理复制病历内容的出院</w:t>
            </w:r>
            <w:r>
              <w:rPr>
                <w:color w:val="auto"/>
                <w:spacing w:val="5"/>
                <w:lang w:eastAsia="zh-CN"/>
              </w:rPr>
              <w:t>患者病历数占同期出院患者病历总数的比例。</w:t>
            </w:r>
            <w:r>
              <w:rPr>
                <w:color w:val="auto"/>
                <w:spacing w:val="3"/>
                <w:lang w:eastAsia="zh-CN"/>
              </w:rPr>
              <w:t>说明：不合理复制病历内容是指首次病程记录病例特点与入院记录、现病史完全相同；拟诊</w:t>
            </w:r>
            <w:r>
              <w:rPr>
                <w:color w:val="auto"/>
                <w:spacing w:val="5"/>
                <w:lang w:eastAsia="zh-CN"/>
              </w:rPr>
              <w:t>讨论部分重复病例特点；</w:t>
            </w:r>
            <w:r>
              <w:rPr>
                <w:rFonts w:ascii="Times New Roman" w:hAnsi="Times New Roman" w:eastAsia="Times New Roman" w:cs="Times New Roman"/>
                <w:color w:val="auto"/>
                <w:spacing w:val="5"/>
                <w:lang w:eastAsia="zh-CN"/>
              </w:rPr>
              <w:t>2</w:t>
            </w:r>
            <w:r>
              <w:rPr>
                <w:color w:val="auto"/>
                <w:spacing w:val="5"/>
                <w:lang w:eastAsia="zh-CN"/>
              </w:rPr>
              <w:t>次以上病程记录完</w:t>
            </w:r>
            <w:r>
              <w:rPr>
                <w:color w:val="auto"/>
                <w:spacing w:val="11"/>
                <w:lang w:eastAsia="zh-CN"/>
              </w:rPr>
              <w:t>全相同；同科同种疾病拟诊讨论内容完全相</w:t>
            </w:r>
            <w:r>
              <w:rPr>
                <w:color w:val="auto"/>
                <w:lang w:eastAsia="zh-CN"/>
              </w:rPr>
              <w:t>同。</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4" w:right="14" w:hanging="5"/>
              <w:jc w:val="both"/>
              <w:rPr>
                <w:color w:val="auto"/>
                <w:lang w:eastAsia="zh-CN"/>
              </w:rPr>
            </w:pPr>
            <w:r>
              <w:rPr>
                <w:rFonts w:ascii="Times New Roman" w:hAnsi="Times New Roman" w:eastAsia="Times New Roman" w:cs="Times New Roman"/>
                <w:color w:val="auto"/>
                <w:spacing w:val="15"/>
                <w:lang w:eastAsia="zh-CN"/>
              </w:rPr>
              <w:t>3.</w:t>
            </w:r>
            <w:r>
              <w:rPr>
                <w:color w:val="auto"/>
                <w:spacing w:val="15"/>
                <w:lang w:eastAsia="zh-CN"/>
              </w:rPr>
              <w:t>知情同意</w:t>
            </w:r>
            <w:r>
              <w:rPr>
                <w:color w:val="auto"/>
                <w:spacing w:val="13"/>
                <w:lang w:eastAsia="zh-CN"/>
              </w:rPr>
              <w:t>书规范签署</w:t>
            </w:r>
            <w:r>
              <w:rPr>
                <w:color w:val="auto"/>
                <w:lang w:eastAsia="zh-CN"/>
              </w:rPr>
              <w:t>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1" w:right="68"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规范签署知情同意书的出院患</w:t>
            </w:r>
            <w:r>
              <w:rPr>
                <w:color w:val="auto"/>
                <w:spacing w:val="8"/>
                <w:lang w:eastAsia="zh-CN"/>
              </w:rPr>
              <w:t>者病历数</w:t>
            </w:r>
            <w:r>
              <w:rPr>
                <w:rFonts w:ascii="Times New Roman" w:hAnsi="Times New Roman" w:eastAsia="Times New Roman" w:cs="Times New Roman"/>
                <w:color w:val="auto"/>
                <w:spacing w:val="8"/>
                <w:lang w:eastAsia="zh-CN"/>
              </w:rPr>
              <w:t>/</w:t>
            </w:r>
            <w:r>
              <w:rPr>
                <w:color w:val="auto"/>
                <w:spacing w:val="8"/>
                <w:lang w:eastAsia="zh-CN"/>
              </w:rPr>
              <w:t>同期存在知情同意书签</w:t>
            </w:r>
            <w:r>
              <w:rPr>
                <w:color w:val="auto"/>
                <w:spacing w:val="6"/>
                <w:lang w:eastAsia="zh-CN"/>
              </w:rPr>
              <w:t>署的出院患者病历总数</w:t>
            </w:r>
            <w:r>
              <w:rPr>
                <w:rFonts w:ascii="Times New Roman" w:hAnsi="Times New Roman" w:eastAsia="Times New Roman" w:cs="Times New Roman"/>
                <w:color w:val="auto"/>
                <w:spacing w:val="6"/>
                <w:lang w:eastAsia="zh-CN"/>
              </w:rPr>
              <w:t>×100%</w:t>
            </w:r>
          </w:p>
        </w:tc>
        <w:tc>
          <w:tcPr>
            <w:tcW w:w="3943" w:type="dxa"/>
          </w:tcPr>
          <w:p>
            <w:pPr>
              <w:spacing w:line="240" w:lineRule="exact"/>
              <w:rPr>
                <w:color w:val="auto"/>
                <w:lang w:eastAsia="zh-CN"/>
              </w:rPr>
            </w:pPr>
          </w:p>
          <w:p>
            <w:pPr>
              <w:pStyle w:val="8"/>
              <w:spacing w:before="0" w:line="240" w:lineRule="exact"/>
              <w:ind w:left="22" w:right="10" w:firstLine="3"/>
              <w:jc w:val="both"/>
              <w:rPr>
                <w:color w:val="auto"/>
                <w:lang w:eastAsia="zh-CN"/>
              </w:rPr>
            </w:pPr>
            <w:r>
              <w:rPr>
                <w:color w:val="auto"/>
                <w:spacing w:val="4"/>
                <w:lang w:eastAsia="zh-CN"/>
              </w:rPr>
              <w:t>单位时间内，规范签署知情同意书的出院患者</w:t>
            </w:r>
            <w:r>
              <w:rPr>
                <w:color w:val="auto"/>
                <w:spacing w:val="15"/>
                <w:lang w:eastAsia="zh-CN"/>
              </w:rPr>
              <w:t>病历数占同期存在知情同意书签署的出院患</w:t>
            </w:r>
            <w:r>
              <w:rPr>
                <w:color w:val="auto"/>
                <w:spacing w:val="7"/>
                <w:lang w:eastAsia="zh-CN"/>
              </w:rPr>
              <w:t>者病历总数的比例。</w:t>
            </w:r>
          </w:p>
          <w:p>
            <w:pPr>
              <w:pStyle w:val="8"/>
              <w:spacing w:before="0" w:line="240" w:lineRule="exact"/>
              <w:ind w:left="21" w:right="10"/>
              <w:jc w:val="both"/>
              <w:rPr>
                <w:color w:val="auto"/>
                <w:lang w:eastAsia="zh-CN"/>
              </w:rPr>
            </w:pPr>
            <w:r>
              <w:rPr>
                <w:color w:val="auto"/>
                <w:spacing w:val="5"/>
                <w:lang w:eastAsia="zh-CN"/>
              </w:rPr>
              <w:t>说明：规范签署知情同意书是指病历中各类知</w:t>
            </w:r>
            <w:r>
              <w:rPr>
                <w:color w:val="auto"/>
                <w:spacing w:val="-4"/>
                <w:lang w:eastAsia="zh-CN"/>
              </w:rPr>
              <w:t>情同意书签署符合《病历书写基本规范》、《医</w:t>
            </w:r>
            <w:r>
              <w:rPr>
                <w:color w:val="auto"/>
                <w:spacing w:val="8"/>
                <w:lang w:eastAsia="zh-CN"/>
              </w:rPr>
              <w:t>疗纠纷预防和处置条例》有关规定。</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269" w:type="dxa"/>
            <w:vMerge w:val="continue"/>
            <w:tcBorders>
              <w:top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spacing w:line="240" w:lineRule="exact"/>
              <w:rPr>
                <w:color w:val="auto"/>
              </w:rPr>
            </w:pPr>
          </w:p>
          <w:p>
            <w:pPr>
              <w:spacing w:line="240" w:lineRule="exact"/>
              <w:rPr>
                <w:color w:val="auto"/>
              </w:rPr>
            </w:pPr>
          </w:p>
          <w:p>
            <w:pPr>
              <w:pStyle w:val="8"/>
              <w:spacing w:before="0" w:line="240" w:lineRule="exact"/>
              <w:ind w:left="24" w:right="14" w:hanging="10"/>
              <w:rPr>
                <w:color w:val="auto"/>
              </w:rPr>
            </w:pPr>
            <w:r>
              <w:rPr>
                <w:rFonts w:ascii="Times New Roman" w:hAnsi="Times New Roman" w:eastAsia="Times New Roman" w:cs="Times New Roman"/>
                <w:color w:val="auto"/>
                <w:spacing w:val="11"/>
              </w:rPr>
              <w:t>4.</w:t>
            </w:r>
            <w:r>
              <w:rPr>
                <w:color w:val="auto"/>
                <w:spacing w:val="11"/>
              </w:rPr>
              <w:t>甲级病历</w:t>
            </w:r>
            <w:r>
              <w:rPr>
                <w:color w:val="auto"/>
              </w:rPr>
              <w:t>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31" w:right="154" w:hanging="1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甲级出院患者病历数</w:t>
            </w:r>
            <w:r>
              <w:rPr>
                <w:rFonts w:ascii="Times New Roman" w:hAnsi="Times New Roman" w:eastAsia="Times New Roman" w:cs="Times New Roman"/>
                <w:color w:val="auto"/>
                <w:spacing w:val="8"/>
                <w:lang w:eastAsia="zh-CN"/>
              </w:rPr>
              <w:t>/</w:t>
            </w:r>
            <w:r>
              <w:rPr>
                <w:color w:val="auto"/>
                <w:spacing w:val="8"/>
                <w:lang w:eastAsia="zh-CN"/>
              </w:rPr>
              <w:t>同期出院</w:t>
            </w:r>
            <w:r>
              <w:rPr>
                <w:color w:val="auto"/>
                <w:spacing w:val="4"/>
                <w:lang w:eastAsia="zh-CN"/>
              </w:rPr>
              <w:t>患者病历总数</w:t>
            </w:r>
            <w:r>
              <w:rPr>
                <w:rFonts w:ascii="Times New Roman" w:hAnsi="Times New Roman" w:eastAsia="Times New Roman" w:cs="Times New Roman"/>
                <w:color w:val="auto"/>
                <w:spacing w:val="4"/>
                <w:lang w:eastAsia="zh-CN"/>
              </w:rPr>
              <w:t>×100%</w:t>
            </w:r>
          </w:p>
        </w:tc>
        <w:tc>
          <w:tcPr>
            <w:tcW w:w="3943"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32" w:right="12" w:hanging="6"/>
              <w:rPr>
                <w:color w:val="auto"/>
                <w:lang w:eastAsia="zh-CN"/>
              </w:rPr>
            </w:pPr>
            <w:r>
              <w:rPr>
                <w:color w:val="auto"/>
                <w:spacing w:val="4"/>
                <w:lang w:eastAsia="zh-CN"/>
              </w:rPr>
              <w:t>单位时间内，甲级出院患者病历数占同期出院</w:t>
            </w:r>
            <w:r>
              <w:rPr>
                <w:color w:val="auto"/>
                <w:spacing w:val="7"/>
                <w:lang w:eastAsia="zh-CN"/>
              </w:rPr>
              <w:t>患者病历总数的比例。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restart"/>
            <w:tcBorders>
              <w:bottom w:val="nil"/>
            </w:tcBorders>
          </w:tcPr>
          <w:p>
            <w:pPr>
              <w:pStyle w:val="8"/>
              <w:spacing w:before="0" w:line="240" w:lineRule="exact"/>
              <w:ind w:left="25" w:right="15" w:firstLine="1"/>
              <w:jc w:val="both"/>
              <w:rPr>
                <w:color w:val="auto"/>
                <w:lang w:eastAsia="zh-CN"/>
              </w:rPr>
            </w:pPr>
            <w:r>
              <w:rPr>
                <w:color w:val="auto"/>
                <w:spacing w:val="13"/>
                <w:lang w:eastAsia="zh-CN"/>
              </w:rPr>
              <w:t>八、超声诊断专业医疗质量</w:t>
            </w:r>
            <w:r>
              <w:rPr>
                <w:color w:val="auto"/>
                <w:spacing w:val="7"/>
                <w:lang w:eastAsia="zh-CN"/>
              </w:rPr>
              <w:t>控制指标</w:t>
            </w:r>
          </w:p>
        </w:tc>
        <w:tc>
          <w:tcPr>
            <w:tcW w:w="1957" w:type="dxa"/>
            <w:gridSpan w:val="2"/>
          </w:tcPr>
          <w:p>
            <w:pPr>
              <w:pStyle w:val="8"/>
              <w:spacing w:before="0" w:line="240" w:lineRule="exact"/>
              <w:ind w:left="20" w:right="14" w:hanging="5"/>
              <w:rPr>
                <w:color w:val="auto"/>
                <w:lang w:eastAsia="zh-CN"/>
              </w:rPr>
            </w:pPr>
            <w:r>
              <w:rPr>
                <w:color w:val="auto"/>
                <w:spacing w:val="-3"/>
                <w:lang w:eastAsia="zh-CN"/>
              </w:rPr>
              <w:t>（一）超声医师月均工</w:t>
            </w:r>
            <w:r>
              <w:rPr>
                <w:color w:val="auto"/>
                <w:spacing w:val="4"/>
                <w:lang w:eastAsia="zh-CN"/>
              </w:rPr>
              <w:t>作量</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93" w:right="78" w:hanging="208"/>
              <w:rPr>
                <w:color w:val="auto"/>
              </w:rPr>
            </w:pPr>
            <w:r>
              <w:rPr>
                <w:color w:val="auto"/>
                <w:spacing w:val="7"/>
              </w:rPr>
              <w:t>部位（系</w:t>
            </w:r>
            <w:r>
              <w:rPr>
                <w:color w:val="auto"/>
                <w:spacing w:val="-2"/>
              </w:rPr>
              <w:t>统）</w:t>
            </w:r>
          </w:p>
        </w:tc>
        <w:tc>
          <w:tcPr>
            <w:tcW w:w="2939" w:type="dxa"/>
          </w:tcPr>
          <w:p>
            <w:pPr>
              <w:pStyle w:val="8"/>
              <w:spacing w:before="0" w:line="240" w:lineRule="exact"/>
              <w:ind w:left="28" w:right="156" w:hanging="1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超声科年总工作量</w:t>
            </w:r>
            <w:r>
              <w:rPr>
                <w:rFonts w:ascii="Times New Roman" w:hAnsi="Times New Roman" w:eastAsia="Times New Roman" w:cs="Times New Roman"/>
                <w:color w:val="auto"/>
                <w:spacing w:val="8"/>
                <w:lang w:eastAsia="zh-CN"/>
              </w:rPr>
              <w:t>/</w:t>
            </w:r>
            <w:r>
              <w:rPr>
                <w:color w:val="auto"/>
                <w:spacing w:val="8"/>
                <w:lang w:eastAsia="zh-CN"/>
              </w:rPr>
              <w:t>超声医师数</w:t>
            </w:r>
            <w:r>
              <w:rPr>
                <w:rFonts w:ascii="Times New Roman" w:hAnsi="Times New Roman" w:eastAsia="Times New Roman" w:cs="Times New Roman"/>
                <w:color w:val="auto"/>
                <w:spacing w:val="-1"/>
                <w:lang w:eastAsia="zh-CN"/>
              </w:rPr>
              <w:t>×12</w:t>
            </w:r>
            <w:r>
              <w:rPr>
                <w:color w:val="auto"/>
                <w:spacing w:val="-1"/>
                <w:lang w:eastAsia="zh-CN"/>
              </w:rPr>
              <w:t>个月</w:t>
            </w:r>
            <w:r>
              <w:rPr>
                <w:rFonts w:ascii="Times New Roman" w:hAnsi="Times New Roman" w:eastAsia="Times New Roman" w:cs="Times New Roman"/>
                <w:color w:val="auto"/>
                <w:spacing w:val="-1"/>
                <w:lang w:eastAsia="zh-CN"/>
              </w:rPr>
              <w:t>×100%</w:t>
            </w:r>
          </w:p>
        </w:tc>
        <w:tc>
          <w:tcPr>
            <w:tcW w:w="3943" w:type="dxa"/>
          </w:tcPr>
          <w:p>
            <w:pPr>
              <w:pStyle w:val="8"/>
              <w:spacing w:before="0" w:line="240" w:lineRule="exact"/>
              <w:ind w:left="23" w:right="12" w:firstLine="2"/>
              <w:rPr>
                <w:color w:val="auto"/>
                <w:lang w:eastAsia="zh-CN"/>
              </w:rPr>
            </w:pPr>
            <w:r>
              <w:rPr>
                <w:color w:val="auto"/>
                <w:spacing w:val="4"/>
                <w:lang w:eastAsia="zh-CN"/>
              </w:rPr>
              <w:t>单位时间内，每名超声医师每月平均承担的工</w:t>
            </w:r>
            <w:r>
              <w:rPr>
                <w:color w:val="auto"/>
                <w:spacing w:val="2"/>
                <w:lang w:eastAsia="zh-CN"/>
              </w:rPr>
              <w:t>作量。</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lang w:eastAsia="zh-CN"/>
              </w:rPr>
            </w:pPr>
          </w:p>
          <w:p>
            <w:pPr>
              <w:pStyle w:val="8"/>
              <w:spacing w:before="0" w:line="240" w:lineRule="exact"/>
              <w:ind w:left="15"/>
              <w:rPr>
                <w:color w:val="auto"/>
                <w:lang w:eastAsia="zh-CN"/>
              </w:rPr>
            </w:pPr>
            <w:r>
              <w:rPr>
                <w:color w:val="auto"/>
                <w:spacing w:val="-3"/>
                <w:lang w:eastAsia="zh-CN"/>
              </w:rPr>
              <w:t>（二）超声仪器质检率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6" w:right="6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单位时间内完成质检的超声仪器数</w:t>
            </w:r>
            <w:r>
              <w:rPr>
                <w:rFonts w:ascii="Times New Roman" w:hAnsi="Times New Roman" w:eastAsia="Times New Roman" w:cs="Times New Roman"/>
                <w:color w:val="auto"/>
                <w:spacing w:val="9"/>
                <w:lang w:eastAsia="zh-CN"/>
              </w:rPr>
              <w:t>/</w:t>
            </w:r>
            <w:r>
              <w:rPr>
                <w:color w:val="auto"/>
                <w:spacing w:val="9"/>
                <w:lang w:eastAsia="zh-CN"/>
              </w:rPr>
              <w:t>同期本机构在用超声仪器总</w:t>
            </w:r>
            <w:r>
              <w:rPr>
                <w:color w:val="auto"/>
                <w:spacing w:val="1"/>
                <w:lang w:eastAsia="zh-CN"/>
              </w:rPr>
              <w:t>数</w:t>
            </w:r>
            <w:r>
              <w:rPr>
                <w:rFonts w:ascii="Times New Roman" w:hAnsi="Times New Roman" w:eastAsia="Times New Roman" w:cs="Times New Roman"/>
                <w:color w:val="auto"/>
                <w:spacing w:val="1"/>
                <w:lang w:eastAsia="zh-CN"/>
              </w:rPr>
              <w:t>×100%</w:t>
            </w:r>
          </w:p>
        </w:tc>
        <w:tc>
          <w:tcPr>
            <w:tcW w:w="3943" w:type="dxa"/>
          </w:tcPr>
          <w:p>
            <w:pPr>
              <w:pStyle w:val="8"/>
              <w:spacing w:before="0" w:line="240" w:lineRule="exact"/>
              <w:ind w:left="19" w:right="12" w:firstLine="6"/>
              <w:rPr>
                <w:color w:val="auto"/>
                <w:lang w:eastAsia="zh-CN"/>
              </w:rPr>
            </w:pPr>
            <w:r>
              <w:rPr>
                <w:color w:val="auto"/>
                <w:spacing w:val="4"/>
                <w:lang w:eastAsia="zh-CN"/>
              </w:rPr>
              <w:t>单位时间内，完成质检的超声仪器数占同期本</w:t>
            </w:r>
            <w:r>
              <w:rPr>
                <w:color w:val="auto"/>
                <w:spacing w:val="8"/>
                <w:lang w:eastAsia="zh-CN"/>
              </w:rPr>
              <w:t>机构在用超声仪器总数的比例。</w:t>
            </w:r>
          </w:p>
          <w:p>
            <w:pPr>
              <w:pStyle w:val="8"/>
              <w:spacing w:before="0" w:line="240" w:lineRule="exact"/>
              <w:ind w:left="25" w:right="10" w:hanging="4"/>
              <w:rPr>
                <w:color w:val="auto"/>
                <w:lang w:eastAsia="zh-CN"/>
              </w:rPr>
            </w:pPr>
            <w:r>
              <w:rPr>
                <w:color w:val="auto"/>
                <w:spacing w:val="5"/>
                <w:lang w:eastAsia="zh-CN"/>
              </w:rPr>
              <w:t>说明：超声仪器质检是指每年由国家认定的计</w:t>
            </w:r>
            <w:r>
              <w:rPr>
                <w:color w:val="auto"/>
                <w:spacing w:val="15"/>
                <w:lang w:eastAsia="zh-CN"/>
              </w:rPr>
              <w:t>量检测机构对超声仪器进行计量和成像质量</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bl>
    <w:p>
      <w:pPr>
        <w:spacing w:line="240" w:lineRule="exact"/>
        <w:rPr>
          <w:color w:val="auto"/>
        </w:rPr>
      </w:pPr>
    </w:p>
    <w:p>
      <w:pPr>
        <w:spacing w:line="240" w:lineRule="exact"/>
        <w:rPr>
          <w:color w:val="auto"/>
        </w:rPr>
        <w:sectPr>
          <w:footerReference r:id="rId49"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269" w:type="dxa"/>
            <w:vMerge w:val="restart"/>
            <w:tcBorders>
              <w:bottom w:val="nil"/>
            </w:tcBorders>
          </w:tcPr>
          <w:p>
            <w:pPr>
              <w:spacing w:line="240" w:lineRule="exact"/>
              <w:rPr>
                <w:color w:val="auto"/>
              </w:rPr>
            </w:pPr>
          </w:p>
        </w:tc>
        <w:tc>
          <w:tcPr>
            <w:tcW w:w="1956" w:type="dxa"/>
          </w:tcPr>
          <w:p>
            <w:pPr>
              <w:spacing w:line="240" w:lineRule="exact"/>
              <w:rPr>
                <w:color w:val="auto"/>
              </w:rPr>
            </w:pPr>
          </w:p>
        </w:tc>
        <w:tc>
          <w:tcPr>
            <w:tcW w:w="1814" w:type="dxa"/>
          </w:tcPr>
          <w:p>
            <w:pPr>
              <w:spacing w:line="240" w:lineRule="exact"/>
              <w:rPr>
                <w:color w:val="auto"/>
              </w:rPr>
            </w:pPr>
          </w:p>
        </w:tc>
        <w:tc>
          <w:tcPr>
            <w:tcW w:w="960" w:type="dxa"/>
          </w:tcPr>
          <w:p>
            <w:pPr>
              <w:spacing w:line="240" w:lineRule="exact"/>
              <w:rPr>
                <w:color w:val="auto"/>
              </w:rPr>
            </w:pPr>
          </w:p>
        </w:tc>
        <w:tc>
          <w:tcPr>
            <w:tcW w:w="2939" w:type="dxa"/>
          </w:tcPr>
          <w:p>
            <w:pPr>
              <w:spacing w:line="240" w:lineRule="exact"/>
              <w:rPr>
                <w:color w:val="auto"/>
              </w:rPr>
            </w:pPr>
          </w:p>
        </w:tc>
        <w:tc>
          <w:tcPr>
            <w:tcW w:w="3944" w:type="dxa"/>
          </w:tcPr>
          <w:p>
            <w:pPr>
              <w:pStyle w:val="8"/>
              <w:spacing w:before="0" w:line="240" w:lineRule="exact"/>
              <w:ind w:left="23"/>
              <w:rPr>
                <w:color w:val="auto"/>
              </w:rPr>
            </w:pPr>
            <w:r>
              <w:rPr>
                <w:color w:val="auto"/>
                <w:spacing w:val="3"/>
              </w:rPr>
              <w:t>质检。</w:t>
            </w:r>
          </w:p>
        </w:tc>
        <w:tc>
          <w:tcPr>
            <w:tcW w:w="1177" w:type="dxa"/>
          </w:tcPr>
          <w:p>
            <w:pPr>
              <w:spacing w:line="240" w:lineRule="exact"/>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3" w:right="13" w:firstLine="1"/>
              <w:rPr>
                <w:color w:val="auto"/>
                <w:lang w:eastAsia="zh-CN"/>
              </w:rPr>
            </w:pPr>
            <w:r>
              <w:rPr>
                <w:color w:val="auto"/>
                <w:spacing w:val="17"/>
                <w:lang w:eastAsia="zh-CN"/>
              </w:rPr>
              <w:t>（三）住院超声检查</w:t>
            </w:r>
            <w:r>
              <w:rPr>
                <w:rFonts w:ascii="Times New Roman" w:hAnsi="Times New Roman" w:eastAsia="Times New Roman" w:cs="Times New Roman"/>
                <w:color w:val="auto"/>
                <w:spacing w:val="7"/>
                <w:lang w:eastAsia="zh-CN"/>
              </w:rPr>
              <w:t>48</w:t>
            </w:r>
            <w:r>
              <w:rPr>
                <w:color w:val="auto"/>
                <w:spacing w:val="7"/>
                <w:lang w:eastAsia="zh-CN"/>
              </w:rPr>
              <w:t>小时内完成率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7" w:right="21" w:hanging="10"/>
              <w:rPr>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单位时间内在临床开具住院超</w:t>
            </w:r>
            <w:r>
              <w:rPr>
                <w:color w:val="auto"/>
                <w:spacing w:val="5"/>
                <w:lang w:eastAsia="zh-CN"/>
              </w:rPr>
              <w:t>声检查申请</w:t>
            </w:r>
            <w:r>
              <w:rPr>
                <w:rFonts w:ascii="Times New Roman" w:hAnsi="Times New Roman" w:eastAsia="Times New Roman" w:cs="Times New Roman"/>
                <w:color w:val="auto"/>
                <w:spacing w:val="5"/>
                <w:lang w:eastAsia="zh-CN"/>
              </w:rPr>
              <w:t>48h</w:t>
            </w:r>
            <w:r>
              <w:rPr>
                <w:color w:val="auto"/>
                <w:spacing w:val="5"/>
                <w:lang w:eastAsia="zh-CN"/>
              </w:rPr>
              <w:t>内完成检查并出</w:t>
            </w:r>
            <w:r>
              <w:rPr>
                <w:color w:val="auto"/>
                <w:spacing w:val="8"/>
                <w:lang w:eastAsia="zh-CN"/>
              </w:rPr>
              <w:t>具超声检查报告的例数</w:t>
            </w:r>
            <w:r>
              <w:rPr>
                <w:rFonts w:ascii="Times New Roman" w:hAnsi="Times New Roman" w:eastAsia="Times New Roman" w:cs="Times New Roman"/>
                <w:color w:val="auto"/>
                <w:spacing w:val="8"/>
                <w:lang w:eastAsia="zh-CN"/>
              </w:rPr>
              <w:t>/</w:t>
            </w:r>
            <w:r>
              <w:rPr>
                <w:color w:val="auto"/>
                <w:spacing w:val="8"/>
                <w:lang w:eastAsia="zh-CN"/>
              </w:rPr>
              <w:t>同期临床开具住院超声检查申请单总数</w:t>
            </w:r>
          </w:p>
          <w:p>
            <w:pPr>
              <w:spacing w:before="0" w:line="240" w:lineRule="exact"/>
              <w:ind w:left="29"/>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position w:val="1"/>
                <w:sz w:val="19"/>
                <w:szCs w:val="19"/>
              </w:rPr>
              <w:t>×100%</w:t>
            </w:r>
          </w:p>
        </w:tc>
        <w:tc>
          <w:tcPr>
            <w:tcW w:w="3944" w:type="dxa"/>
          </w:tcPr>
          <w:p>
            <w:pPr>
              <w:pStyle w:val="8"/>
              <w:spacing w:before="0" w:line="240" w:lineRule="exact"/>
              <w:ind w:left="17" w:right="10" w:firstLine="9"/>
              <w:jc w:val="both"/>
              <w:rPr>
                <w:color w:val="auto"/>
                <w:lang w:eastAsia="zh-CN"/>
              </w:rPr>
            </w:pPr>
            <w:r>
              <w:rPr>
                <w:color w:val="auto"/>
                <w:spacing w:val="15"/>
                <w:lang w:eastAsia="zh-CN"/>
              </w:rPr>
              <w:t>单位时间内，在临床开具住院超声检查申请</w:t>
            </w:r>
            <w:r>
              <w:rPr>
                <w:rFonts w:ascii="Times New Roman" w:hAnsi="Times New Roman" w:eastAsia="Times New Roman" w:cs="Times New Roman"/>
                <w:color w:val="auto"/>
                <w:spacing w:val="12"/>
                <w:lang w:eastAsia="zh-CN"/>
              </w:rPr>
              <w:t>48</w:t>
            </w:r>
            <w:r>
              <w:rPr>
                <w:color w:val="auto"/>
                <w:spacing w:val="12"/>
                <w:lang w:eastAsia="zh-CN"/>
              </w:rPr>
              <w:t>小时内完成检查并出具超声检查报告</w:t>
            </w:r>
            <w:r>
              <w:rPr>
                <w:color w:val="auto"/>
                <w:spacing w:val="11"/>
                <w:lang w:eastAsia="zh-CN"/>
              </w:rPr>
              <w:t>的例</w:t>
            </w:r>
            <w:r>
              <w:rPr>
                <w:color w:val="auto"/>
                <w:spacing w:val="5"/>
                <w:lang w:eastAsia="zh-CN"/>
              </w:rPr>
              <w:t>数，占同期临床开具住院超声检查申请单总数</w:t>
            </w:r>
            <w:r>
              <w:rPr>
                <w:color w:val="auto"/>
                <w:spacing w:val="6"/>
                <w:lang w:eastAsia="zh-CN"/>
              </w:rPr>
              <w:t>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 w:right="11" w:hanging="4"/>
              <w:rPr>
                <w:color w:val="auto"/>
                <w:lang w:eastAsia="zh-CN"/>
              </w:rPr>
            </w:pPr>
            <w:r>
              <w:rPr>
                <w:color w:val="auto"/>
                <w:spacing w:val="8"/>
                <w:lang w:eastAsia="zh-CN"/>
              </w:rPr>
              <w:t>（四）超声危急值</w:t>
            </w:r>
            <w:r>
              <w:rPr>
                <w:rFonts w:ascii="Times New Roman" w:hAnsi="Times New Roman" w:eastAsia="Times New Roman" w:cs="Times New Roman"/>
                <w:color w:val="auto"/>
                <w:spacing w:val="8"/>
                <w:lang w:eastAsia="zh-CN"/>
              </w:rPr>
              <w:t>10</w:t>
            </w:r>
            <w:r>
              <w:rPr>
                <w:color w:val="auto"/>
                <w:spacing w:val="8"/>
                <w:lang w:eastAsia="zh-CN"/>
              </w:rPr>
              <w:t>分钟内通报完成率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67" w:hanging="10"/>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6"/>
                <w:lang w:eastAsia="zh-CN"/>
              </w:rPr>
              <w:t>=</w:t>
            </w:r>
            <w:r>
              <w:rPr>
                <w:color w:val="auto"/>
                <w:spacing w:val="6"/>
                <w:lang w:eastAsia="zh-CN"/>
              </w:rPr>
              <w:t>单位时间内</w:t>
            </w:r>
            <w:r>
              <w:rPr>
                <w:rFonts w:ascii="Times New Roman" w:hAnsi="Times New Roman" w:eastAsia="Times New Roman" w:cs="Times New Roman"/>
                <w:color w:val="auto"/>
                <w:spacing w:val="6"/>
                <w:lang w:eastAsia="zh-CN"/>
              </w:rPr>
              <w:t>10</w:t>
            </w:r>
            <w:r>
              <w:rPr>
                <w:color w:val="auto"/>
                <w:spacing w:val="6"/>
                <w:lang w:eastAsia="zh-CN"/>
              </w:rPr>
              <w:t>分钟内完成通</w:t>
            </w:r>
            <w:r>
              <w:rPr>
                <w:color w:val="auto"/>
                <w:spacing w:val="8"/>
                <w:lang w:eastAsia="zh-CN"/>
              </w:rPr>
              <w:t>报的超声危急值例数</w:t>
            </w:r>
            <w:r>
              <w:rPr>
                <w:rFonts w:ascii="Times New Roman" w:hAnsi="Times New Roman" w:eastAsia="Times New Roman" w:cs="Times New Roman"/>
                <w:color w:val="auto"/>
                <w:spacing w:val="8"/>
                <w:lang w:eastAsia="zh-CN"/>
              </w:rPr>
              <w:t>/</w:t>
            </w:r>
            <w:r>
              <w:rPr>
                <w:color w:val="auto"/>
                <w:spacing w:val="8"/>
                <w:lang w:eastAsia="zh-CN"/>
              </w:rPr>
              <w:t>同期超声危</w:t>
            </w:r>
            <w:r>
              <w:rPr>
                <w:color w:val="auto"/>
                <w:spacing w:val="3"/>
                <w:lang w:eastAsia="zh-CN"/>
              </w:rPr>
              <w:t>急值总例数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22" w:right="12" w:firstLine="4"/>
              <w:rPr>
                <w:color w:val="auto"/>
                <w:lang w:eastAsia="zh-CN"/>
              </w:rPr>
            </w:pPr>
            <w:r>
              <w:rPr>
                <w:color w:val="auto"/>
                <w:spacing w:val="8"/>
                <w:lang w:eastAsia="zh-CN"/>
              </w:rPr>
              <w:t>单位时间内，</w:t>
            </w:r>
            <w:r>
              <w:rPr>
                <w:rFonts w:ascii="Times New Roman" w:hAnsi="Times New Roman" w:eastAsia="Times New Roman" w:cs="Times New Roman"/>
                <w:color w:val="auto"/>
                <w:spacing w:val="8"/>
                <w:lang w:eastAsia="zh-CN"/>
              </w:rPr>
              <w:t>10</w:t>
            </w:r>
            <w:r>
              <w:rPr>
                <w:color w:val="auto"/>
                <w:spacing w:val="8"/>
                <w:lang w:eastAsia="zh-CN"/>
              </w:rPr>
              <w:t>分钟内完成通报的超声危急值例数占同期超声危急值总例数的比例。</w:t>
            </w:r>
          </w:p>
          <w:p>
            <w:pPr>
              <w:pStyle w:val="8"/>
              <w:spacing w:before="0" w:line="240" w:lineRule="exact"/>
              <w:ind w:left="19" w:right="7" w:firstLine="3"/>
              <w:rPr>
                <w:color w:val="auto"/>
                <w:lang w:eastAsia="zh-CN"/>
              </w:rPr>
            </w:pPr>
            <w:r>
              <w:rPr>
                <w:color w:val="auto"/>
                <w:spacing w:val="5"/>
                <w:lang w:eastAsia="zh-CN"/>
              </w:rPr>
              <w:t>说明：超声检查危急值是指超声检查影像提示以下超声诊断：疑似肝脏、脾脏、肾脏破裂出血；疑似宫外孕破裂并腹腔内出血；急性胆囊炎考虑胆囊化脓并急性穿孔；晚期妊娠出现羊</w:t>
            </w:r>
            <w:r>
              <w:rPr>
                <w:color w:val="auto"/>
                <w:spacing w:val="9"/>
                <w:lang w:eastAsia="zh-CN"/>
              </w:rPr>
              <w:t>水过少并胎儿心率过快</w:t>
            </w:r>
            <w:r>
              <w:rPr>
                <w:color w:val="auto"/>
                <w:spacing w:val="-11"/>
                <w:lang w:eastAsia="zh-CN"/>
              </w:rPr>
              <w:t>（＞</w:t>
            </w:r>
            <w:r>
              <w:rPr>
                <w:rFonts w:ascii="Times New Roman" w:hAnsi="Times New Roman" w:eastAsia="Times New Roman" w:cs="Times New Roman"/>
                <w:color w:val="auto"/>
                <w:spacing w:val="9"/>
                <w:lang w:eastAsia="zh-CN"/>
              </w:rPr>
              <w:t>160</w:t>
            </w:r>
            <w:r>
              <w:rPr>
                <w:color w:val="auto"/>
                <w:spacing w:val="9"/>
                <w:lang w:eastAsia="zh-CN"/>
              </w:rPr>
              <w:t>次</w:t>
            </w:r>
            <w:r>
              <w:rPr>
                <w:rFonts w:ascii="Times New Roman" w:hAnsi="Times New Roman" w:eastAsia="Times New Roman" w:cs="Times New Roman"/>
                <w:color w:val="auto"/>
                <w:spacing w:val="9"/>
                <w:lang w:eastAsia="zh-CN"/>
              </w:rPr>
              <w:t>/</w:t>
            </w:r>
            <w:r>
              <w:rPr>
                <w:rFonts w:ascii="Times New Roman" w:hAnsi="Times New Roman" w:eastAsia="Times New Roman" w:cs="Times New Roman"/>
                <w:color w:val="auto"/>
                <w:lang w:eastAsia="zh-CN"/>
              </w:rPr>
              <w:t>min</w:t>
            </w:r>
            <w:r>
              <w:rPr>
                <w:color w:val="auto"/>
                <w:spacing w:val="9"/>
                <w:lang w:eastAsia="zh-CN"/>
              </w:rPr>
              <w:t>）或过</w:t>
            </w:r>
            <w:r>
              <w:rPr>
                <w:color w:val="auto"/>
                <w:spacing w:val="10"/>
                <w:lang w:eastAsia="zh-CN"/>
              </w:rPr>
              <w:t>慢</w:t>
            </w:r>
            <w:r>
              <w:rPr>
                <w:color w:val="auto"/>
                <w:spacing w:val="-11"/>
                <w:lang w:eastAsia="zh-CN"/>
              </w:rPr>
              <w:t>（＜</w:t>
            </w:r>
            <w:r>
              <w:rPr>
                <w:rFonts w:ascii="Times New Roman" w:hAnsi="Times New Roman" w:eastAsia="Times New Roman" w:cs="Times New Roman"/>
                <w:color w:val="auto"/>
                <w:spacing w:val="10"/>
                <w:lang w:eastAsia="zh-CN"/>
              </w:rPr>
              <w:t>110</w:t>
            </w:r>
            <w:r>
              <w:rPr>
                <w:color w:val="auto"/>
                <w:spacing w:val="10"/>
                <w:lang w:eastAsia="zh-CN"/>
              </w:rPr>
              <w:t>次</w:t>
            </w:r>
            <w:r>
              <w:rPr>
                <w:rFonts w:ascii="Times New Roman" w:hAnsi="Times New Roman" w:eastAsia="Times New Roman" w:cs="Times New Roman"/>
                <w:color w:val="auto"/>
                <w:spacing w:val="10"/>
                <w:lang w:eastAsia="zh-CN"/>
              </w:rPr>
              <w:t>/</w:t>
            </w:r>
            <w:r>
              <w:rPr>
                <w:rFonts w:ascii="Times New Roman" w:hAnsi="Times New Roman" w:eastAsia="Times New Roman" w:cs="Times New Roman"/>
                <w:color w:val="auto"/>
                <w:lang w:eastAsia="zh-CN"/>
              </w:rPr>
              <w:t>min</w:t>
            </w:r>
            <w:r>
              <w:rPr>
                <w:color w:val="auto"/>
                <w:spacing w:val="-11"/>
                <w:lang w:eastAsia="zh-CN"/>
              </w:rPr>
              <w:t>）；</w:t>
            </w:r>
            <w:r>
              <w:rPr>
                <w:color w:val="auto"/>
                <w:spacing w:val="10"/>
                <w:lang w:eastAsia="zh-CN"/>
              </w:rPr>
              <w:t>子宫破裂；胎盘早剥、</w:t>
            </w:r>
            <w:r>
              <w:rPr>
                <w:color w:val="auto"/>
                <w:spacing w:val="5"/>
                <w:lang w:eastAsia="zh-CN"/>
              </w:rPr>
              <w:t>前置胎盘并活动性出血；首次发现心功能减退</w:t>
            </w:r>
            <w:r>
              <w:rPr>
                <w:color w:val="auto"/>
                <w:spacing w:val="11"/>
                <w:lang w:eastAsia="zh-CN"/>
              </w:rPr>
              <w:t>（</w:t>
            </w:r>
            <w:r>
              <w:rPr>
                <w:rFonts w:ascii="Times New Roman" w:hAnsi="Times New Roman" w:eastAsia="Times New Roman" w:cs="Times New Roman"/>
                <w:color w:val="auto"/>
                <w:lang w:eastAsia="zh-CN"/>
              </w:rPr>
              <w:t>LVEF</w:t>
            </w:r>
            <w:r>
              <w:rPr>
                <w:color w:val="auto"/>
                <w:spacing w:val="11"/>
                <w:lang w:eastAsia="zh-CN"/>
              </w:rPr>
              <w:t>＜</w:t>
            </w:r>
            <w:r>
              <w:rPr>
                <w:rFonts w:ascii="Times New Roman" w:hAnsi="Times New Roman" w:eastAsia="Times New Roman" w:cs="Times New Roman"/>
                <w:color w:val="auto"/>
                <w:spacing w:val="11"/>
                <w:lang w:eastAsia="zh-CN"/>
              </w:rPr>
              <w:t>35%</w:t>
            </w:r>
            <w:r>
              <w:rPr>
                <w:color w:val="auto"/>
                <w:spacing w:val="23"/>
                <w:lang w:eastAsia="zh-CN"/>
              </w:rPr>
              <w:t>）；</w:t>
            </w:r>
            <w:r>
              <w:rPr>
                <w:color w:val="auto"/>
                <w:spacing w:val="11"/>
                <w:lang w:eastAsia="zh-CN"/>
              </w:rPr>
              <w:t>心包积液合并心脏压塞；</w:t>
            </w:r>
            <w:r>
              <w:rPr>
                <w:color w:val="auto"/>
                <w:spacing w:val="5"/>
                <w:lang w:eastAsia="zh-CN"/>
              </w:rPr>
              <w:t>主动脉夹层；主动脉瘤破裂；心脏破裂；心脏游离血栓；急性上下肢动脉栓塞；瓣膜置换术</w:t>
            </w:r>
            <w:r>
              <w:rPr>
                <w:color w:val="auto"/>
                <w:spacing w:val="6"/>
                <w:lang w:eastAsia="zh-CN"/>
              </w:rPr>
              <w:t>后卡瓣。</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7" w:right="13" w:hanging="2"/>
              <w:rPr>
                <w:color w:val="auto"/>
                <w:lang w:eastAsia="zh-CN"/>
              </w:rPr>
            </w:pPr>
            <w:r>
              <w:rPr>
                <w:color w:val="auto"/>
                <w:spacing w:val="2"/>
                <w:lang w:eastAsia="zh-CN"/>
              </w:rPr>
              <w:t>（五）超声报告书写合</w:t>
            </w:r>
            <w:r>
              <w:rPr>
                <w:color w:val="auto"/>
                <w:spacing w:val="5"/>
                <w:lang w:eastAsia="zh-CN"/>
              </w:rPr>
              <w:t>格率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67" w:hanging="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单位时间内超声检查报告书写</w:t>
            </w:r>
            <w:r>
              <w:rPr>
                <w:color w:val="auto"/>
                <w:spacing w:val="8"/>
                <w:lang w:eastAsia="zh-CN"/>
              </w:rPr>
              <w:t>合格的数量</w:t>
            </w:r>
            <w:r>
              <w:rPr>
                <w:rFonts w:ascii="Times New Roman" w:hAnsi="Times New Roman" w:eastAsia="Times New Roman" w:cs="Times New Roman"/>
                <w:color w:val="auto"/>
                <w:spacing w:val="8"/>
                <w:lang w:eastAsia="zh-CN"/>
              </w:rPr>
              <w:t>/</w:t>
            </w:r>
            <w:r>
              <w:rPr>
                <w:color w:val="auto"/>
                <w:spacing w:val="8"/>
                <w:lang w:eastAsia="zh-CN"/>
              </w:rPr>
              <w:t>同期超声检查报告总</w:t>
            </w:r>
            <w:r>
              <w:rPr>
                <w:color w:val="auto"/>
                <w:lang w:eastAsia="zh-CN"/>
              </w:rPr>
              <w:t>数</w:t>
            </w:r>
            <w:r>
              <w:rPr>
                <w:rFonts w:ascii="Times New Roman" w:hAnsi="Times New Roman" w:eastAsia="Times New Roman" w:cs="Times New Roman"/>
                <w:color w:val="auto"/>
                <w:lang w:eastAsia="zh-CN"/>
              </w:rPr>
              <w:t>×100%</w:t>
            </w:r>
          </w:p>
        </w:tc>
        <w:tc>
          <w:tcPr>
            <w:tcW w:w="3944" w:type="dxa"/>
          </w:tcPr>
          <w:p>
            <w:pPr>
              <w:pStyle w:val="8"/>
              <w:spacing w:before="0" w:line="240" w:lineRule="exact"/>
              <w:ind w:left="42" w:right="12" w:hanging="15"/>
              <w:rPr>
                <w:color w:val="auto"/>
                <w:lang w:eastAsia="zh-CN"/>
              </w:rPr>
            </w:pPr>
            <w:r>
              <w:rPr>
                <w:color w:val="auto"/>
                <w:spacing w:val="4"/>
                <w:lang w:eastAsia="zh-CN"/>
              </w:rPr>
              <w:t>单位时间内，超声检查报告书写合格的数量占</w:t>
            </w:r>
            <w:r>
              <w:rPr>
                <w:color w:val="auto"/>
                <w:spacing w:val="7"/>
                <w:lang w:eastAsia="zh-CN"/>
              </w:rPr>
              <w:t>同期超声检查报告总数的比例。</w:t>
            </w:r>
          </w:p>
        </w:tc>
        <w:tc>
          <w:tcPr>
            <w:tcW w:w="1177" w:type="dxa"/>
          </w:tcPr>
          <w:p>
            <w:pPr>
              <w:pStyle w:val="8"/>
              <w:spacing w:before="0" w:line="240" w:lineRule="exact"/>
              <w:ind w:left="190"/>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36" w:right="13" w:hanging="21"/>
              <w:rPr>
                <w:color w:val="auto"/>
                <w:lang w:eastAsia="zh-CN"/>
              </w:rPr>
            </w:pPr>
            <w:r>
              <w:rPr>
                <w:color w:val="auto"/>
                <w:spacing w:val="2"/>
                <w:lang w:eastAsia="zh-CN"/>
              </w:rPr>
              <w:t>（六）门急诊超声报告</w:t>
            </w:r>
            <w:r>
              <w:rPr>
                <w:color w:val="auto"/>
                <w:spacing w:val="1"/>
                <w:lang w:eastAsia="zh-CN"/>
              </w:rPr>
              <w:t>阳性率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7" w:right="6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单位时间内门急诊超声报告中有异常发现的报告数</w:t>
            </w:r>
            <w:r>
              <w:rPr>
                <w:rFonts w:ascii="Times New Roman" w:hAnsi="Times New Roman" w:eastAsia="Times New Roman" w:cs="Times New Roman"/>
                <w:color w:val="auto"/>
                <w:spacing w:val="9"/>
                <w:lang w:eastAsia="zh-CN"/>
              </w:rPr>
              <w:t>/</w:t>
            </w:r>
            <w:r>
              <w:rPr>
                <w:color w:val="auto"/>
                <w:spacing w:val="9"/>
                <w:lang w:eastAsia="zh-CN"/>
              </w:rPr>
              <w:t>同期门急诊</w:t>
            </w:r>
            <w:r>
              <w:rPr>
                <w:color w:val="auto"/>
                <w:spacing w:val="5"/>
                <w:lang w:eastAsia="zh-CN"/>
              </w:rPr>
              <w:t>超声报告总数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22" w:firstLine="4"/>
              <w:jc w:val="both"/>
              <w:rPr>
                <w:color w:val="auto"/>
                <w:lang w:eastAsia="zh-CN"/>
              </w:rPr>
            </w:pPr>
            <w:r>
              <w:rPr>
                <w:color w:val="auto"/>
                <w:spacing w:val="3"/>
                <w:lang w:eastAsia="zh-CN"/>
              </w:rPr>
              <w:t>单位时间内，门急诊超声报告中有异常发现的报告数，占同期门急诊超声报告总数的比例。</w:t>
            </w:r>
            <w:r>
              <w:rPr>
                <w:color w:val="auto"/>
                <w:spacing w:val="5"/>
                <w:lang w:eastAsia="zh-CN"/>
              </w:rPr>
              <w:t>说明</w:t>
            </w:r>
            <w:r>
              <w:rPr>
                <w:rFonts w:ascii="Times New Roman" w:hAnsi="Times New Roman" w:eastAsia="Times New Roman" w:cs="Times New Roman"/>
                <w:color w:val="auto"/>
                <w:spacing w:val="5"/>
                <w:lang w:eastAsia="zh-CN"/>
              </w:rPr>
              <w:t>:</w:t>
            </w:r>
            <w:r>
              <w:rPr>
                <w:color w:val="auto"/>
                <w:spacing w:val="5"/>
                <w:lang w:eastAsia="zh-CN"/>
              </w:rPr>
              <w:t>（</w:t>
            </w:r>
            <w:r>
              <w:rPr>
                <w:rFonts w:ascii="Times New Roman" w:hAnsi="Times New Roman" w:eastAsia="Times New Roman" w:cs="Times New Roman"/>
                <w:color w:val="auto"/>
                <w:spacing w:val="5"/>
                <w:lang w:eastAsia="zh-CN"/>
              </w:rPr>
              <w:t>1</w:t>
            </w:r>
            <w:r>
              <w:rPr>
                <w:color w:val="auto"/>
                <w:spacing w:val="5"/>
                <w:lang w:eastAsia="zh-CN"/>
              </w:rPr>
              <w:t>）指标按照报告份数统计，如果一份</w:t>
            </w:r>
            <w:r>
              <w:rPr>
                <w:color w:val="auto"/>
                <w:spacing w:val="3"/>
                <w:lang w:eastAsia="zh-CN"/>
              </w:rPr>
              <w:t>报告中含有多个检查部位，有一项阳性或多项</w:t>
            </w:r>
            <w:r>
              <w:rPr>
                <w:color w:val="auto"/>
                <w:spacing w:val="6"/>
                <w:lang w:eastAsia="zh-CN"/>
              </w:rPr>
              <w:t>阳性结果，按</w:t>
            </w:r>
            <w:r>
              <w:rPr>
                <w:rFonts w:ascii="Times New Roman" w:hAnsi="Times New Roman" w:eastAsia="Times New Roman" w:cs="Times New Roman"/>
                <w:color w:val="auto"/>
                <w:spacing w:val="6"/>
                <w:lang w:eastAsia="zh-CN"/>
              </w:rPr>
              <w:t>1</w:t>
            </w:r>
            <w:r>
              <w:rPr>
                <w:color w:val="auto"/>
                <w:spacing w:val="6"/>
                <w:lang w:eastAsia="zh-CN"/>
              </w:rPr>
              <w:t>例阳性报告统计。</w:t>
            </w:r>
          </w:p>
          <w:p>
            <w:pPr>
              <w:pStyle w:val="8"/>
              <w:spacing w:before="0" w:line="240" w:lineRule="exact"/>
              <w:ind w:left="19"/>
              <w:rPr>
                <w:color w:val="auto"/>
                <w:lang w:eastAsia="zh-CN"/>
              </w:rPr>
            </w:pPr>
            <w:r>
              <w:rPr>
                <w:color w:val="auto"/>
                <w:spacing w:val="8"/>
                <w:lang w:eastAsia="zh-CN"/>
              </w:rPr>
              <w:t>（</w:t>
            </w:r>
            <w:r>
              <w:rPr>
                <w:rFonts w:ascii="Times New Roman" w:hAnsi="Times New Roman" w:eastAsia="Times New Roman" w:cs="Times New Roman"/>
                <w:color w:val="auto"/>
                <w:spacing w:val="8"/>
                <w:lang w:eastAsia="zh-CN"/>
              </w:rPr>
              <w:t>2</w:t>
            </w:r>
            <w:r>
              <w:rPr>
                <w:color w:val="auto"/>
                <w:spacing w:val="8"/>
                <w:lang w:eastAsia="zh-CN"/>
              </w:rPr>
              <w:t>）该指标不包括健康体检相关超声报告。</w:t>
            </w:r>
          </w:p>
        </w:tc>
        <w:tc>
          <w:tcPr>
            <w:tcW w:w="1177" w:type="dxa"/>
          </w:tcPr>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5"/>
              <w:rPr>
                <w:color w:val="auto"/>
                <w:lang w:eastAsia="zh-CN"/>
              </w:rPr>
            </w:pPr>
            <w:r>
              <w:rPr>
                <w:color w:val="auto"/>
                <w:spacing w:val="2"/>
                <w:lang w:eastAsia="zh-CN"/>
              </w:rPr>
              <w:t>（七）住院超声报告阳</w:t>
            </w:r>
          </w:p>
        </w:tc>
        <w:tc>
          <w:tcPr>
            <w:tcW w:w="1814" w:type="dxa"/>
          </w:tcPr>
          <w:p>
            <w:pPr>
              <w:pStyle w:val="8"/>
              <w:spacing w:before="0" w:line="240" w:lineRule="exact"/>
              <w:ind w:left="20"/>
              <w:rPr>
                <w:color w:val="auto"/>
              </w:rPr>
            </w:pPr>
            <w:r>
              <w:rPr>
                <w:color w:val="auto"/>
                <w:spacing w:val="7"/>
              </w:rPr>
              <w:t>定量指标，连续监测</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7"/>
              <w:rPr>
                <w:color w:val="auto"/>
                <w:lang w:eastAsia="zh-CN"/>
              </w:rPr>
            </w:pPr>
            <w:r>
              <w:rPr>
                <w:rFonts w:ascii="Times New Roman" w:hAnsi="Times New Roman" w:eastAsia="Times New Roman" w:cs="Times New Roman"/>
                <w:color w:val="auto"/>
                <w:spacing w:val="9"/>
                <w:position w:val="1"/>
                <w:lang w:eastAsia="zh-CN"/>
              </w:rPr>
              <w:t>=</w:t>
            </w:r>
            <w:r>
              <w:rPr>
                <w:color w:val="auto"/>
                <w:spacing w:val="9"/>
                <w:position w:val="1"/>
                <w:lang w:eastAsia="zh-CN"/>
              </w:rPr>
              <w:t>单位时间内住院超声报告中有</w:t>
            </w:r>
          </w:p>
        </w:tc>
        <w:tc>
          <w:tcPr>
            <w:tcW w:w="3944" w:type="dxa"/>
          </w:tcPr>
          <w:p>
            <w:pPr>
              <w:pStyle w:val="8"/>
              <w:spacing w:before="0" w:line="240" w:lineRule="exact"/>
              <w:ind w:left="27"/>
              <w:rPr>
                <w:color w:val="auto"/>
                <w:lang w:eastAsia="zh-CN"/>
              </w:rPr>
            </w:pPr>
            <w:r>
              <w:rPr>
                <w:color w:val="auto"/>
                <w:spacing w:val="4"/>
                <w:lang w:eastAsia="zh-CN"/>
              </w:rPr>
              <w:t>单位时间内，住院超声报告中有异常发现的报</w:t>
            </w:r>
          </w:p>
        </w:tc>
        <w:tc>
          <w:tcPr>
            <w:tcW w:w="1177" w:type="dxa"/>
          </w:tcPr>
          <w:p>
            <w:pPr>
              <w:pStyle w:val="8"/>
              <w:spacing w:before="0" w:line="240" w:lineRule="exact"/>
              <w:ind w:left="200"/>
              <w:rPr>
                <w:color w:val="auto"/>
              </w:rPr>
            </w:pPr>
            <w:r>
              <w:rPr>
                <w:color w:val="auto"/>
                <w:spacing w:val="6"/>
              </w:rPr>
              <w:t>监测比较</w:t>
            </w:r>
          </w:p>
        </w:tc>
      </w:tr>
    </w:tbl>
    <w:p>
      <w:pPr>
        <w:autoSpaceDE/>
        <w:autoSpaceDN/>
        <w:spacing w:line="20" w:lineRule="exact"/>
        <w:rPr>
          <w:color w:val="auto"/>
          <w:sz w:val="7"/>
        </w:rPr>
      </w:pPr>
    </w:p>
    <w:p>
      <w:pPr>
        <w:autoSpaceDE/>
        <w:autoSpaceDN/>
        <w:spacing w:line="20" w:lineRule="exact"/>
        <w:rPr>
          <w:color w:val="auto"/>
          <w:sz w:val="7"/>
          <w:szCs w:val="7"/>
        </w:rPr>
        <w:sectPr>
          <w:footerReference r:id="rId50"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269" w:type="dxa"/>
            <w:vMerge w:val="restart"/>
            <w:tcBorders>
              <w:bottom w:val="nil"/>
            </w:tcBorders>
          </w:tcPr>
          <w:p>
            <w:pPr>
              <w:spacing w:line="240" w:lineRule="exact"/>
              <w:rPr>
                <w:color w:val="auto"/>
              </w:rPr>
            </w:pPr>
          </w:p>
        </w:tc>
        <w:tc>
          <w:tcPr>
            <w:tcW w:w="1956" w:type="dxa"/>
          </w:tcPr>
          <w:p>
            <w:pPr>
              <w:pStyle w:val="8"/>
              <w:spacing w:before="0" w:line="240" w:lineRule="exact"/>
              <w:ind w:left="22"/>
              <w:rPr>
                <w:color w:val="auto"/>
              </w:rPr>
            </w:pPr>
            <w:r>
              <w:rPr>
                <w:color w:val="auto"/>
                <w:spacing w:val="3"/>
              </w:rPr>
              <w:t>性率</w:t>
            </w:r>
          </w:p>
        </w:tc>
        <w:tc>
          <w:tcPr>
            <w:tcW w:w="1814" w:type="dxa"/>
          </w:tcPr>
          <w:p>
            <w:pPr>
              <w:pStyle w:val="8"/>
              <w:spacing w:before="0" w:line="240" w:lineRule="exact"/>
              <w:ind w:left="28"/>
              <w:rPr>
                <w:color w:val="auto"/>
              </w:rPr>
            </w:pPr>
            <w:r>
              <w:rPr>
                <w:color w:val="auto"/>
                <w:spacing w:val="7"/>
              </w:rPr>
              <w:t>类指标，必填指标</w:t>
            </w:r>
          </w:p>
        </w:tc>
        <w:tc>
          <w:tcPr>
            <w:tcW w:w="960" w:type="dxa"/>
          </w:tcPr>
          <w:p>
            <w:pPr>
              <w:spacing w:line="240" w:lineRule="exact"/>
              <w:rPr>
                <w:color w:val="auto"/>
              </w:rPr>
            </w:pPr>
          </w:p>
        </w:tc>
        <w:tc>
          <w:tcPr>
            <w:tcW w:w="2939" w:type="dxa"/>
          </w:tcPr>
          <w:p>
            <w:pPr>
              <w:pStyle w:val="8"/>
              <w:spacing w:before="0" w:line="240" w:lineRule="exact"/>
              <w:ind w:left="27" w:right="67" w:hanging="1"/>
              <w:rPr>
                <w:rFonts w:ascii="Times New Roman" w:hAnsi="Times New Roman" w:eastAsia="Times New Roman" w:cs="Times New Roman"/>
                <w:color w:val="auto"/>
                <w:lang w:eastAsia="zh-CN"/>
              </w:rPr>
            </w:pPr>
            <w:r>
              <w:rPr>
                <w:color w:val="auto"/>
                <w:spacing w:val="8"/>
                <w:lang w:eastAsia="zh-CN"/>
              </w:rPr>
              <w:t>异常发现的报告数</w:t>
            </w:r>
            <w:r>
              <w:rPr>
                <w:rFonts w:ascii="Times New Roman" w:hAnsi="Times New Roman" w:eastAsia="Times New Roman" w:cs="Times New Roman"/>
                <w:color w:val="auto"/>
                <w:spacing w:val="8"/>
                <w:lang w:eastAsia="zh-CN"/>
              </w:rPr>
              <w:t>/</w:t>
            </w:r>
            <w:r>
              <w:rPr>
                <w:color w:val="auto"/>
                <w:spacing w:val="8"/>
                <w:lang w:eastAsia="zh-CN"/>
              </w:rPr>
              <w:t>同期住院超声</w:t>
            </w:r>
            <w:r>
              <w:rPr>
                <w:color w:val="auto"/>
                <w:spacing w:val="3"/>
                <w:lang w:eastAsia="zh-CN"/>
              </w:rPr>
              <w:t>报告总数</w:t>
            </w:r>
            <w:r>
              <w:rPr>
                <w:rFonts w:ascii="Times New Roman" w:hAnsi="Times New Roman" w:eastAsia="Times New Roman" w:cs="Times New Roman"/>
                <w:color w:val="auto"/>
                <w:spacing w:val="3"/>
                <w:lang w:eastAsia="zh-CN"/>
              </w:rPr>
              <w:t>×100%</w:t>
            </w:r>
          </w:p>
        </w:tc>
        <w:tc>
          <w:tcPr>
            <w:tcW w:w="3944" w:type="dxa"/>
          </w:tcPr>
          <w:p>
            <w:pPr>
              <w:pStyle w:val="8"/>
              <w:spacing w:before="0" w:line="240" w:lineRule="exact"/>
              <w:ind w:left="28"/>
              <w:rPr>
                <w:color w:val="auto"/>
                <w:lang w:eastAsia="zh-CN"/>
              </w:rPr>
            </w:pPr>
            <w:r>
              <w:rPr>
                <w:color w:val="auto"/>
                <w:spacing w:val="5"/>
                <w:lang w:eastAsia="zh-CN"/>
              </w:rPr>
              <w:t>告数，占同期住院超声报告总数的比例。</w:t>
            </w:r>
          </w:p>
          <w:p>
            <w:pPr>
              <w:pStyle w:val="8"/>
              <w:spacing w:before="0" w:line="240" w:lineRule="exact"/>
              <w:ind w:left="28" w:right="10" w:hanging="6"/>
              <w:jc w:val="both"/>
              <w:rPr>
                <w:color w:val="auto"/>
                <w:lang w:eastAsia="zh-CN"/>
              </w:rPr>
            </w:pPr>
            <w:r>
              <w:rPr>
                <w:color w:val="auto"/>
                <w:spacing w:val="5"/>
                <w:lang w:eastAsia="zh-CN"/>
              </w:rPr>
              <w:t>说明：指标按照报告份数统计，如果一份报告中含有多个检查部位，有一项阳性或多项阳性结果，按</w:t>
            </w:r>
            <w:r>
              <w:rPr>
                <w:rFonts w:ascii="Times New Roman" w:hAnsi="Times New Roman" w:eastAsia="Times New Roman" w:cs="Times New Roman"/>
                <w:color w:val="auto"/>
                <w:spacing w:val="5"/>
                <w:lang w:eastAsia="zh-CN"/>
              </w:rPr>
              <w:t>1</w:t>
            </w:r>
            <w:r>
              <w:rPr>
                <w:color w:val="auto"/>
                <w:spacing w:val="5"/>
                <w:lang w:eastAsia="zh-CN"/>
              </w:rPr>
              <w:t>例阳性报告统计。</w:t>
            </w:r>
          </w:p>
        </w:tc>
        <w:tc>
          <w:tcPr>
            <w:tcW w:w="1177" w:type="dxa"/>
          </w:tcPr>
          <w:p>
            <w:pPr>
              <w:spacing w:line="240" w:lineRule="exact"/>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1269" w:type="dxa"/>
            <w:vMerge w:val="continue"/>
            <w:tcBorders>
              <w:top w:val="nil"/>
            </w:tcBorders>
          </w:tcPr>
          <w:p>
            <w:pPr>
              <w:spacing w:line="240" w:lineRule="exact"/>
              <w:rPr>
                <w:color w:val="auto"/>
                <w:lang w:eastAsia="zh-CN"/>
              </w:rPr>
            </w:pPr>
          </w:p>
        </w:tc>
        <w:tc>
          <w:tcPr>
            <w:tcW w:w="1956" w:type="dxa"/>
          </w:tcPr>
          <w:p>
            <w:pPr>
              <w:pStyle w:val="8"/>
              <w:spacing w:before="0" w:line="240" w:lineRule="exact"/>
              <w:ind w:left="15"/>
              <w:rPr>
                <w:color w:val="auto"/>
                <w:lang w:eastAsia="zh-CN"/>
              </w:rPr>
            </w:pPr>
            <w:r>
              <w:rPr>
                <w:color w:val="auto"/>
                <w:spacing w:val="2"/>
                <w:lang w:eastAsia="zh-CN"/>
              </w:rPr>
              <w:t>（八）超声诊断符合率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5" w:right="67"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单位时间内超声诊断与病理或</w:t>
            </w:r>
            <w:r>
              <w:rPr>
                <w:color w:val="auto"/>
                <w:spacing w:val="8"/>
                <w:lang w:eastAsia="zh-CN"/>
              </w:rPr>
              <w:t>临床诊断符合例数</w:t>
            </w:r>
            <w:r>
              <w:rPr>
                <w:rFonts w:ascii="Times New Roman" w:hAnsi="Times New Roman" w:eastAsia="Times New Roman" w:cs="Times New Roman"/>
                <w:color w:val="auto"/>
                <w:spacing w:val="8"/>
                <w:lang w:eastAsia="zh-CN"/>
              </w:rPr>
              <w:t>/</w:t>
            </w:r>
            <w:r>
              <w:rPr>
                <w:color w:val="auto"/>
                <w:spacing w:val="8"/>
                <w:lang w:eastAsia="zh-CN"/>
              </w:rPr>
              <w:t>同期超声诊断有对应病理或临床诊断总例数</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
                <w:lang w:eastAsia="zh-CN"/>
              </w:rPr>
              <w:t>100%</w:t>
            </w:r>
          </w:p>
        </w:tc>
        <w:tc>
          <w:tcPr>
            <w:tcW w:w="3944" w:type="dxa"/>
          </w:tcPr>
          <w:p>
            <w:pPr>
              <w:pStyle w:val="8"/>
              <w:spacing w:before="0" w:line="240" w:lineRule="exact"/>
              <w:ind w:left="32" w:right="10" w:hanging="5"/>
              <w:jc w:val="both"/>
              <w:rPr>
                <w:color w:val="auto"/>
                <w:lang w:eastAsia="zh-CN"/>
              </w:rPr>
            </w:pPr>
            <w:r>
              <w:rPr>
                <w:color w:val="auto"/>
                <w:spacing w:val="4"/>
                <w:lang w:eastAsia="zh-CN"/>
              </w:rPr>
              <w:t>单位时间内，超声诊断与病理或临床诊断符合的例数，占同期超声诊断有对应病理或临床诊</w:t>
            </w:r>
            <w:r>
              <w:rPr>
                <w:color w:val="auto"/>
                <w:spacing w:val="6"/>
                <w:lang w:eastAsia="zh-CN"/>
              </w:rPr>
              <w:t>断总例数的比例。</w:t>
            </w:r>
          </w:p>
        </w:tc>
        <w:tc>
          <w:tcPr>
            <w:tcW w:w="1177" w:type="dxa"/>
          </w:tcPr>
          <w:p>
            <w:pPr>
              <w:pStyle w:val="8"/>
              <w:spacing w:before="0" w:line="240" w:lineRule="exact"/>
              <w:ind w:left="190"/>
              <w:rPr>
                <w:color w:val="auto"/>
              </w:rPr>
            </w:pPr>
            <w:r>
              <w:rPr>
                <w:color w:val="auto"/>
                <w:spacing w:val="8"/>
              </w:rPr>
              <w:t>逐步提高</w:t>
            </w:r>
          </w:p>
        </w:tc>
      </w:tr>
    </w:tbl>
    <w:p>
      <w:pPr>
        <w:spacing w:line="240" w:lineRule="exact"/>
        <w:rPr>
          <w:color w:val="auto"/>
        </w:rPr>
      </w:pPr>
    </w:p>
    <w:p>
      <w:pPr>
        <w:spacing w:line="240" w:lineRule="exact"/>
        <w:rPr>
          <w:color w:val="auto"/>
        </w:rPr>
        <w:sectPr>
          <w:footerReference r:id="rId51"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895"/>
        <w:gridCol w:w="1062"/>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restart"/>
            <w:tcBorders>
              <w:bottom w:val="nil"/>
            </w:tcBorders>
          </w:tcPr>
          <w:p>
            <w:pPr>
              <w:spacing w:line="240" w:lineRule="exact"/>
              <w:rPr>
                <w:color w:val="auto"/>
                <w:lang w:eastAsia="zh-CN"/>
              </w:rPr>
            </w:pPr>
          </w:p>
          <w:p>
            <w:pPr>
              <w:pStyle w:val="8"/>
              <w:spacing w:before="0" w:line="240" w:lineRule="exact"/>
              <w:ind w:left="28" w:right="49" w:hanging="3"/>
              <w:jc w:val="both"/>
              <w:rPr>
                <w:color w:val="auto"/>
                <w:lang w:eastAsia="zh-CN"/>
              </w:rPr>
            </w:pPr>
            <w:r>
              <w:rPr>
                <w:color w:val="auto"/>
                <w:spacing w:val="8"/>
                <w:lang w:eastAsia="zh-CN"/>
              </w:rPr>
              <w:t>九、康复医学</w:t>
            </w:r>
            <w:r>
              <w:rPr>
                <w:color w:val="auto"/>
                <w:spacing w:val="7"/>
                <w:lang w:eastAsia="zh-CN"/>
              </w:rPr>
              <w:t>专业医疗质量</w:t>
            </w:r>
          </w:p>
          <w:p>
            <w:pPr>
              <w:pStyle w:val="8"/>
              <w:spacing w:line="240" w:lineRule="exact"/>
              <w:ind w:left="25"/>
              <w:rPr>
                <w:color w:val="auto"/>
              </w:rPr>
            </w:pPr>
            <w:r>
              <w:rPr>
                <w:color w:val="auto"/>
                <w:spacing w:val="7"/>
              </w:rPr>
              <w:t>控制指标</w:t>
            </w:r>
          </w:p>
        </w:tc>
        <w:tc>
          <w:tcPr>
            <w:tcW w:w="895"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5" w:hanging="11"/>
              <w:jc w:val="both"/>
              <w:rPr>
                <w:color w:val="auto"/>
                <w:lang w:eastAsia="zh-CN"/>
              </w:rPr>
            </w:pPr>
            <w:r>
              <w:rPr>
                <w:color w:val="auto"/>
                <w:spacing w:val="-13"/>
                <w:lang w:eastAsia="zh-CN"/>
              </w:rPr>
              <w:t>（一）康</w:t>
            </w:r>
            <w:r>
              <w:rPr>
                <w:color w:val="auto"/>
                <w:spacing w:val="21"/>
                <w:lang w:eastAsia="zh-CN"/>
              </w:rPr>
              <w:t>复治疗师</w:t>
            </w:r>
            <w:r>
              <w:rPr>
                <w:color w:val="auto"/>
                <w:spacing w:val="5"/>
                <w:lang w:eastAsia="zh-CN"/>
              </w:rPr>
              <w:t>配备情况</w:t>
            </w:r>
          </w:p>
        </w:tc>
        <w:tc>
          <w:tcPr>
            <w:tcW w:w="1062" w:type="dxa"/>
          </w:tcPr>
          <w:p>
            <w:pPr>
              <w:pStyle w:val="8"/>
              <w:spacing w:before="0" w:line="240" w:lineRule="exact"/>
              <w:ind w:left="18" w:right="14" w:firstLine="15"/>
              <w:jc w:val="both"/>
              <w:rPr>
                <w:color w:val="auto"/>
                <w:lang w:eastAsia="zh-CN"/>
              </w:rPr>
            </w:pPr>
            <w:r>
              <w:rPr>
                <w:rFonts w:ascii="Times New Roman" w:hAnsi="Times New Roman" w:eastAsia="Times New Roman" w:cs="Times New Roman"/>
                <w:color w:val="auto"/>
                <w:spacing w:val="12"/>
                <w:lang w:eastAsia="zh-CN"/>
              </w:rPr>
              <w:t>1.</w:t>
            </w:r>
            <w:r>
              <w:rPr>
                <w:color w:val="auto"/>
                <w:spacing w:val="12"/>
                <w:lang w:eastAsia="zh-CN"/>
              </w:rPr>
              <w:t>物理治疗</w:t>
            </w:r>
            <w:r>
              <w:rPr>
                <w:color w:val="auto"/>
                <w:spacing w:val="14"/>
                <w:lang w:eastAsia="zh-CN"/>
              </w:rPr>
              <w:t>师占康复治疗师总数的</w:t>
            </w:r>
            <w:r>
              <w:rPr>
                <w:color w:val="auto"/>
                <w:spacing w:val="5"/>
                <w:lang w:eastAsia="zh-CN"/>
              </w:rPr>
              <w:t>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年度在岗的物理治疗师总数</w:t>
            </w:r>
            <w:r>
              <w:rPr>
                <w:rFonts w:ascii="Times New Roman" w:hAnsi="Times New Roman" w:eastAsia="Times New Roman" w:cs="Times New Roman"/>
                <w:color w:val="auto"/>
                <w:spacing w:val="8"/>
                <w:lang w:eastAsia="zh-CN"/>
              </w:rPr>
              <w:t>/</w:t>
            </w:r>
            <w:r>
              <w:rPr>
                <w:color w:val="auto"/>
                <w:spacing w:val="8"/>
                <w:lang w:eastAsia="zh-CN"/>
              </w:rPr>
              <w:t>同期医院在岗的康复治疗师总数</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37" w:right="10" w:firstLine="6"/>
              <w:rPr>
                <w:color w:val="auto"/>
                <w:lang w:eastAsia="zh-CN"/>
              </w:rPr>
            </w:pPr>
            <w:r>
              <w:rPr>
                <w:color w:val="auto"/>
                <w:spacing w:val="14"/>
                <w:lang w:eastAsia="zh-CN"/>
              </w:rPr>
              <w:t>医院在岗物理治疗师数占同期在岗康复治疗</w:t>
            </w:r>
            <w:r>
              <w:rPr>
                <w:color w:val="auto"/>
                <w:spacing w:val="5"/>
                <w:lang w:eastAsia="zh-CN"/>
              </w:rPr>
              <w:t>师总数的比例。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18" w:right="14" w:hanging="3"/>
              <w:jc w:val="both"/>
              <w:rPr>
                <w:color w:val="auto"/>
                <w:lang w:eastAsia="zh-CN"/>
              </w:rPr>
            </w:pPr>
            <w:r>
              <w:rPr>
                <w:rFonts w:ascii="Times New Roman" w:hAnsi="Times New Roman" w:eastAsia="Times New Roman" w:cs="Times New Roman"/>
                <w:color w:val="auto"/>
                <w:spacing w:val="15"/>
                <w:lang w:eastAsia="zh-CN"/>
              </w:rPr>
              <w:t>2.</w:t>
            </w:r>
            <w:r>
              <w:rPr>
                <w:color w:val="auto"/>
                <w:spacing w:val="15"/>
                <w:lang w:eastAsia="zh-CN"/>
              </w:rPr>
              <w:t>作业治疗</w:t>
            </w:r>
            <w:r>
              <w:rPr>
                <w:color w:val="auto"/>
                <w:spacing w:val="14"/>
                <w:lang w:eastAsia="zh-CN"/>
              </w:rPr>
              <w:t>师占康复治疗师总数的</w:t>
            </w:r>
            <w:r>
              <w:rPr>
                <w:color w:val="auto"/>
                <w:spacing w:val="5"/>
                <w:lang w:eastAsia="zh-CN"/>
              </w:rPr>
              <w:t>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年度在岗的作业治疗师总数</w:t>
            </w:r>
            <w:r>
              <w:rPr>
                <w:rFonts w:ascii="Times New Roman" w:hAnsi="Times New Roman" w:eastAsia="Times New Roman" w:cs="Times New Roman"/>
                <w:color w:val="auto"/>
                <w:spacing w:val="8"/>
                <w:lang w:eastAsia="zh-CN"/>
              </w:rPr>
              <w:t>/</w:t>
            </w:r>
            <w:r>
              <w:rPr>
                <w:color w:val="auto"/>
                <w:spacing w:val="8"/>
                <w:lang w:eastAsia="zh-CN"/>
              </w:rPr>
              <w:t>同期医院在岗的康复治疗师总数</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37" w:right="10" w:firstLine="6"/>
              <w:rPr>
                <w:color w:val="auto"/>
                <w:lang w:eastAsia="zh-CN"/>
              </w:rPr>
            </w:pPr>
            <w:r>
              <w:rPr>
                <w:color w:val="auto"/>
                <w:spacing w:val="14"/>
                <w:lang w:eastAsia="zh-CN"/>
              </w:rPr>
              <w:t>医院在岗作业治疗师数占同期在岗康复治疗</w:t>
            </w:r>
            <w:r>
              <w:rPr>
                <w:color w:val="auto"/>
                <w:spacing w:val="5"/>
                <w:lang w:eastAsia="zh-CN"/>
              </w:rPr>
              <w:t>师总数的比例。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18" w:right="14"/>
              <w:jc w:val="both"/>
              <w:rPr>
                <w:color w:val="auto"/>
                <w:lang w:eastAsia="zh-CN"/>
              </w:rPr>
            </w:pPr>
            <w:r>
              <w:rPr>
                <w:rFonts w:ascii="Times New Roman" w:hAnsi="Times New Roman" w:eastAsia="Times New Roman" w:cs="Times New Roman"/>
                <w:color w:val="auto"/>
                <w:spacing w:val="15"/>
                <w:lang w:eastAsia="zh-CN"/>
              </w:rPr>
              <w:t>3.</w:t>
            </w:r>
            <w:r>
              <w:rPr>
                <w:color w:val="auto"/>
                <w:spacing w:val="15"/>
                <w:lang w:eastAsia="zh-CN"/>
              </w:rPr>
              <w:t>语言治疗</w:t>
            </w:r>
            <w:r>
              <w:rPr>
                <w:color w:val="auto"/>
                <w:spacing w:val="14"/>
                <w:lang w:eastAsia="zh-CN"/>
              </w:rPr>
              <w:t>师占康复治疗师总数的</w:t>
            </w:r>
            <w:r>
              <w:rPr>
                <w:color w:val="auto"/>
                <w:spacing w:val="5"/>
                <w:lang w:eastAsia="zh-CN"/>
              </w:rPr>
              <w:t>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年度在岗的语言治疗师总数</w:t>
            </w:r>
            <w:r>
              <w:rPr>
                <w:rFonts w:ascii="Times New Roman" w:hAnsi="Times New Roman" w:eastAsia="Times New Roman" w:cs="Times New Roman"/>
                <w:color w:val="auto"/>
                <w:spacing w:val="8"/>
                <w:lang w:eastAsia="zh-CN"/>
              </w:rPr>
              <w:t>/</w:t>
            </w:r>
            <w:r>
              <w:rPr>
                <w:color w:val="auto"/>
                <w:spacing w:val="8"/>
                <w:lang w:eastAsia="zh-CN"/>
              </w:rPr>
              <w:t>同期医院在岗的康复治疗师总数</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37" w:right="10" w:firstLine="6"/>
              <w:rPr>
                <w:color w:val="auto"/>
                <w:lang w:eastAsia="zh-CN"/>
              </w:rPr>
            </w:pPr>
            <w:r>
              <w:rPr>
                <w:color w:val="auto"/>
                <w:spacing w:val="14"/>
                <w:lang w:eastAsia="zh-CN"/>
              </w:rPr>
              <w:t>医院在岗语言治疗师数占同期在岗康复治疗</w:t>
            </w:r>
            <w:r>
              <w:rPr>
                <w:color w:val="auto"/>
                <w:spacing w:val="5"/>
                <w:lang w:eastAsia="zh-CN"/>
              </w:rPr>
              <w:t>师总数的比例。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18" w:right="14" w:hanging="4"/>
              <w:jc w:val="both"/>
              <w:rPr>
                <w:color w:val="auto"/>
                <w:lang w:eastAsia="zh-CN"/>
              </w:rPr>
            </w:pPr>
            <w:r>
              <w:rPr>
                <w:rFonts w:ascii="Times New Roman" w:hAnsi="Times New Roman" w:eastAsia="Times New Roman" w:cs="Times New Roman"/>
                <w:color w:val="auto"/>
                <w:spacing w:val="15"/>
                <w:lang w:eastAsia="zh-CN"/>
              </w:rPr>
              <w:t>4.</w:t>
            </w:r>
            <w:r>
              <w:rPr>
                <w:color w:val="auto"/>
                <w:spacing w:val="15"/>
                <w:lang w:eastAsia="zh-CN"/>
              </w:rPr>
              <w:t>心理治疗</w:t>
            </w:r>
            <w:r>
              <w:rPr>
                <w:color w:val="auto"/>
                <w:spacing w:val="14"/>
                <w:lang w:eastAsia="zh-CN"/>
              </w:rPr>
              <w:t>师占康复治疗师总数的</w:t>
            </w:r>
            <w:r>
              <w:rPr>
                <w:color w:val="auto"/>
                <w:spacing w:val="5"/>
                <w:lang w:eastAsia="zh-CN"/>
              </w:rPr>
              <w:t>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年度在岗的心理治疗师总数</w:t>
            </w:r>
            <w:r>
              <w:rPr>
                <w:rFonts w:ascii="Times New Roman" w:hAnsi="Times New Roman" w:eastAsia="Times New Roman" w:cs="Times New Roman"/>
                <w:color w:val="auto"/>
                <w:spacing w:val="8"/>
                <w:lang w:eastAsia="zh-CN"/>
              </w:rPr>
              <w:t>/</w:t>
            </w:r>
            <w:r>
              <w:rPr>
                <w:color w:val="auto"/>
                <w:spacing w:val="8"/>
                <w:lang w:eastAsia="zh-CN"/>
              </w:rPr>
              <w:t>同期医院在岗的康复治疗师总数</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
                <w:lang w:eastAsia="zh-CN"/>
              </w:rPr>
              <w:t>100%</w:t>
            </w:r>
          </w:p>
        </w:tc>
        <w:tc>
          <w:tcPr>
            <w:tcW w:w="3943" w:type="dxa"/>
          </w:tcPr>
          <w:p>
            <w:pPr>
              <w:spacing w:line="240" w:lineRule="exact"/>
              <w:rPr>
                <w:color w:val="auto"/>
                <w:lang w:eastAsia="zh-CN"/>
              </w:rPr>
            </w:pPr>
          </w:p>
          <w:p>
            <w:pPr>
              <w:pStyle w:val="8"/>
              <w:spacing w:before="0" w:line="240" w:lineRule="exact"/>
              <w:ind w:left="37" w:right="10" w:firstLine="6"/>
              <w:rPr>
                <w:color w:val="auto"/>
                <w:lang w:eastAsia="zh-CN"/>
              </w:rPr>
            </w:pPr>
            <w:r>
              <w:rPr>
                <w:color w:val="auto"/>
                <w:spacing w:val="14"/>
                <w:lang w:eastAsia="zh-CN"/>
              </w:rPr>
              <w:t>医院在岗心理治疗师数占同期在岗康复治疗</w:t>
            </w:r>
            <w:r>
              <w:rPr>
                <w:color w:val="auto"/>
                <w:spacing w:val="5"/>
                <w:lang w:eastAsia="zh-CN"/>
              </w:rPr>
              <w:t>师总数的比例。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bottom w:val="nil"/>
            </w:tcBorders>
          </w:tcPr>
          <w:p>
            <w:pPr>
              <w:spacing w:line="240" w:lineRule="exact"/>
              <w:rPr>
                <w:color w:val="auto"/>
              </w:rPr>
            </w:pPr>
          </w:p>
        </w:tc>
        <w:tc>
          <w:tcPr>
            <w:tcW w:w="1062" w:type="dxa"/>
          </w:tcPr>
          <w:p>
            <w:pPr>
              <w:pStyle w:val="8"/>
              <w:spacing w:before="0" w:line="240" w:lineRule="exact"/>
              <w:ind w:left="23" w:right="14" w:hanging="3"/>
              <w:jc w:val="both"/>
              <w:rPr>
                <w:color w:val="auto"/>
                <w:lang w:eastAsia="zh-CN"/>
              </w:rPr>
            </w:pPr>
            <w:r>
              <w:rPr>
                <w:rFonts w:ascii="Times New Roman" w:hAnsi="Times New Roman" w:eastAsia="Times New Roman" w:cs="Times New Roman"/>
                <w:color w:val="auto"/>
                <w:spacing w:val="10"/>
                <w:lang w:eastAsia="zh-CN"/>
              </w:rPr>
              <w:t>5.</w:t>
            </w:r>
            <w:r>
              <w:rPr>
                <w:color w:val="auto"/>
                <w:spacing w:val="10"/>
                <w:lang w:eastAsia="zh-CN"/>
              </w:rPr>
              <w:t>中医传统</w:t>
            </w:r>
            <w:r>
              <w:rPr>
                <w:color w:val="auto"/>
                <w:spacing w:val="13"/>
                <w:lang w:eastAsia="zh-CN"/>
              </w:rPr>
              <w:t>治疗师占康复治疗师总</w:t>
            </w:r>
            <w:r>
              <w:rPr>
                <w:color w:val="auto"/>
                <w:spacing w:val="6"/>
                <w:lang w:eastAsia="zh-CN"/>
              </w:rPr>
              <w:t>数的比例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5" w:right="68" w:hanging="9"/>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年度在岗的中医传统治疗师总</w:t>
            </w:r>
            <w:r>
              <w:rPr>
                <w:color w:val="auto"/>
                <w:spacing w:val="8"/>
                <w:lang w:eastAsia="zh-CN"/>
              </w:rPr>
              <w:t>数</w:t>
            </w:r>
            <w:r>
              <w:rPr>
                <w:rFonts w:ascii="Times New Roman" w:hAnsi="Times New Roman" w:eastAsia="Times New Roman" w:cs="Times New Roman"/>
                <w:color w:val="auto"/>
                <w:spacing w:val="8"/>
                <w:lang w:eastAsia="zh-CN"/>
              </w:rPr>
              <w:t>/</w:t>
            </w:r>
            <w:r>
              <w:rPr>
                <w:color w:val="auto"/>
                <w:spacing w:val="8"/>
                <w:lang w:eastAsia="zh-CN"/>
              </w:rPr>
              <w:t>同期医院在岗的康复治疗师总</w:t>
            </w:r>
            <w:r>
              <w:rPr>
                <w:color w:val="auto"/>
                <w:lang w:eastAsia="zh-CN"/>
              </w:rPr>
              <w:t>数</w:t>
            </w:r>
            <w:r>
              <w:rPr>
                <w:rFonts w:ascii="Times New Roman" w:hAnsi="Times New Roman" w:eastAsia="Times New Roman" w:cs="Times New Roman"/>
                <w:color w:val="auto"/>
                <w:lang w:eastAsia="zh-CN"/>
              </w:rPr>
              <w:t>×100%</w:t>
            </w:r>
          </w:p>
        </w:tc>
        <w:tc>
          <w:tcPr>
            <w:tcW w:w="3943" w:type="dxa"/>
          </w:tcPr>
          <w:p>
            <w:pPr>
              <w:spacing w:line="240" w:lineRule="exact"/>
              <w:rPr>
                <w:color w:val="auto"/>
                <w:lang w:eastAsia="zh-CN"/>
              </w:rPr>
            </w:pPr>
          </w:p>
          <w:p>
            <w:pPr>
              <w:pStyle w:val="8"/>
              <w:spacing w:before="0" w:line="240" w:lineRule="exact"/>
              <w:ind w:left="32" w:right="10" w:firstLine="12"/>
              <w:rPr>
                <w:color w:val="auto"/>
                <w:lang w:eastAsia="zh-CN"/>
              </w:rPr>
            </w:pPr>
            <w:r>
              <w:rPr>
                <w:color w:val="auto"/>
                <w:spacing w:val="14"/>
                <w:lang w:eastAsia="zh-CN"/>
              </w:rPr>
              <w:t>医院在岗中医传统治疗师数占同期在岗康复</w:t>
            </w:r>
            <w:r>
              <w:rPr>
                <w:color w:val="auto"/>
                <w:spacing w:val="6"/>
                <w:lang w:eastAsia="zh-CN"/>
              </w:rPr>
              <w:t>治疗师总数的比例。</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1269" w:type="dxa"/>
            <w:vMerge w:val="continue"/>
            <w:tcBorders>
              <w:top w:val="nil"/>
              <w:bottom w:val="nil"/>
            </w:tcBorders>
          </w:tcPr>
          <w:p>
            <w:pPr>
              <w:spacing w:line="240" w:lineRule="exact"/>
              <w:rPr>
                <w:color w:val="auto"/>
              </w:rPr>
            </w:pPr>
          </w:p>
        </w:tc>
        <w:tc>
          <w:tcPr>
            <w:tcW w:w="895" w:type="dxa"/>
            <w:vMerge w:val="continue"/>
            <w:tcBorders>
              <w:top w:val="nil"/>
            </w:tcBorders>
          </w:tcPr>
          <w:p>
            <w:pPr>
              <w:spacing w:line="240" w:lineRule="exact"/>
              <w:rPr>
                <w:color w:val="auto"/>
              </w:rPr>
            </w:pPr>
          </w:p>
        </w:tc>
        <w:tc>
          <w:tcPr>
            <w:tcW w:w="1062" w:type="dxa"/>
          </w:tcPr>
          <w:p>
            <w:pPr>
              <w:pStyle w:val="8"/>
              <w:spacing w:before="0" w:line="240" w:lineRule="exact"/>
              <w:ind w:left="12" w:right="14" w:firstLine="6"/>
              <w:jc w:val="both"/>
              <w:rPr>
                <w:color w:val="auto"/>
                <w:lang w:eastAsia="zh-CN"/>
              </w:rPr>
            </w:pPr>
            <w:r>
              <w:rPr>
                <w:rFonts w:ascii="Times New Roman" w:hAnsi="Times New Roman" w:eastAsia="Times New Roman" w:cs="Times New Roman"/>
                <w:color w:val="auto"/>
                <w:spacing w:val="16"/>
                <w:lang w:eastAsia="zh-CN"/>
              </w:rPr>
              <w:t>6.</w:t>
            </w:r>
            <w:r>
              <w:rPr>
                <w:color w:val="auto"/>
                <w:spacing w:val="16"/>
                <w:lang w:eastAsia="zh-CN"/>
              </w:rPr>
              <w:t>康复辅具工作人员占康复治疗师</w:t>
            </w:r>
            <w:r>
              <w:rPr>
                <w:color w:val="auto"/>
                <w:spacing w:val="9"/>
                <w:lang w:eastAsia="zh-CN"/>
              </w:rPr>
              <w:t>总数的比例</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3" w:right="68" w:hanging="1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年度在岗的康复辅具工作人员</w:t>
            </w:r>
            <w:r>
              <w:rPr>
                <w:color w:val="auto"/>
                <w:spacing w:val="7"/>
                <w:lang w:eastAsia="zh-CN"/>
              </w:rPr>
              <w:t>总数</w:t>
            </w:r>
            <w:r>
              <w:rPr>
                <w:rFonts w:ascii="Times New Roman" w:hAnsi="Times New Roman" w:eastAsia="Times New Roman" w:cs="Times New Roman"/>
                <w:color w:val="auto"/>
                <w:spacing w:val="7"/>
                <w:lang w:eastAsia="zh-CN"/>
              </w:rPr>
              <w:t>/</w:t>
            </w:r>
            <w:r>
              <w:rPr>
                <w:color w:val="auto"/>
                <w:spacing w:val="7"/>
                <w:lang w:eastAsia="zh-CN"/>
              </w:rPr>
              <w:t>同期医院在岗的康复治疗师</w:t>
            </w:r>
            <w:r>
              <w:rPr>
                <w:color w:val="auto"/>
                <w:lang w:eastAsia="zh-CN"/>
              </w:rPr>
              <w:t>总数</w:t>
            </w:r>
            <w:r>
              <w:rPr>
                <w:rFonts w:ascii="Times New Roman" w:hAnsi="Times New Roman" w:eastAsia="Times New Roman" w:cs="Times New Roman"/>
                <w:color w:val="auto"/>
                <w:lang w:eastAsia="zh-CN"/>
              </w:rPr>
              <w:t>×100%</w:t>
            </w:r>
          </w:p>
        </w:tc>
        <w:tc>
          <w:tcPr>
            <w:tcW w:w="3943" w:type="dxa"/>
          </w:tcPr>
          <w:p>
            <w:pPr>
              <w:pStyle w:val="8"/>
              <w:spacing w:before="0" w:line="240" w:lineRule="exact"/>
              <w:ind w:left="21" w:right="10" w:firstLine="23"/>
              <w:rPr>
                <w:color w:val="auto"/>
                <w:lang w:eastAsia="zh-CN"/>
              </w:rPr>
            </w:pPr>
            <w:r>
              <w:rPr>
                <w:color w:val="auto"/>
                <w:spacing w:val="14"/>
                <w:lang w:eastAsia="zh-CN"/>
              </w:rPr>
              <w:t>医院在岗康复辅具人员数占同期在岗康复治</w:t>
            </w:r>
            <w:r>
              <w:rPr>
                <w:color w:val="auto"/>
                <w:spacing w:val="7"/>
                <w:lang w:eastAsia="zh-CN"/>
              </w:rPr>
              <w:t>疗师总数的比例。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52"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978"/>
        <w:gridCol w:w="979"/>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269" w:type="dxa"/>
            <w:vMerge w:val="restart"/>
            <w:tcBorders>
              <w:bottom w:val="nil"/>
            </w:tcBorders>
          </w:tcPr>
          <w:p>
            <w:pPr>
              <w:spacing w:line="240" w:lineRule="exact"/>
              <w:rPr>
                <w:color w:val="auto"/>
              </w:rPr>
            </w:pPr>
          </w:p>
        </w:tc>
        <w:tc>
          <w:tcPr>
            <w:tcW w:w="1957" w:type="dxa"/>
            <w:gridSpan w:val="2"/>
          </w:tcPr>
          <w:p>
            <w:pPr>
              <w:spacing w:line="240" w:lineRule="exact"/>
              <w:rPr>
                <w:color w:val="auto"/>
                <w:lang w:eastAsia="zh-CN"/>
              </w:rPr>
            </w:pPr>
          </w:p>
          <w:p>
            <w:pPr>
              <w:pStyle w:val="8"/>
              <w:spacing w:before="0" w:line="240" w:lineRule="exact"/>
              <w:ind w:left="24" w:right="14" w:hanging="9"/>
              <w:rPr>
                <w:color w:val="auto"/>
                <w:lang w:eastAsia="zh-CN"/>
              </w:rPr>
            </w:pPr>
            <w:r>
              <w:rPr>
                <w:color w:val="auto"/>
                <w:spacing w:val="-3"/>
                <w:lang w:eastAsia="zh-CN"/>
              </w:rPr>
              <w:t>（二）康复治疗师离职</w:t>
            </w:r>
            <w:r>
              <w:rPr>
                <w:color w:val="auto"/>
                <w:lang w:eastAsia="zh-CN"/>
              </w:rPr>
              <w:t>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8" w:right="89" w:hanging="2"/>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康复治疗师离职人数</w:t>
            </w:r>
            <w:r>
              <w:rPr>
                <w:rFonts w:ascii="Times New Roman" w:hAnsi="Times New Roman" w:eastAsia="Times New Roman" w:cs="Times New Roman"/>
                <w:color w:val="auto"/>
                <w:spacing w:val="8"/>
                <w:lang w:eastAsia="zh-CN"/>
              </w:rPr>
              <w:t>/(</w:t>
            </w:r>
            <w:r>
              <w:rPr>
                <w:color w:val="auto"/>
                <w:spacing w:val="8"/>
                <w:lang w:eastAsia="zh-CN"/>
              </w:rPr>
              <w:t>期初医疗</w:t>
            </w:r>
            <w:r>
              <w:rPr>
                <w:color w:val="auto"/>
                <w:spacing w:val="9"/>
                <w:lang w:eastAsia="zh-CN"/>
              </w:rPr>
              <w:t>机构康复治疗师总人数</w:t>
            </w:r>
            <w:r>
              <w:rPr>
                <w:rFonts w:ascii="Times New Roman" w:hAnsi="Times New Roman" w:eastAsia="Times New Roman" w:cs="Times New Roman"/>
                <w:color w:val="auto"/>
                <w:spacing w:val="9"/>
                <w:lang w:eastAsia="zh-CN"/>
              </w:rPr>
              <w:t>+</w:t>
            </w:r>
            <w:r>
              <w:rPr>
                <w:color w:val="auto"/>
                <w:spacing w:val="9"/>
                <w:lang w:eastAsia="zh-CN"/>
              </w:rPr>
              <w:t>期末医</w:t>
            </w:r>
            <w:r>
              <w:rPr>
                <w:color w:val="auto"/>
                <w:spacing w:val="5"/>
                <w:lang w:eastAsia="zh-CN"/>
              </w:rPr>
              <w:t>疗机构康复治疗师总人数）</w:t>
            </w:r>
            <w:r>
              <w:rPr>
                <w:rFonts w:ascii="Times New Roman" w:hAnsi="Times New Roman" w:eastAsia="Times New Roman" w:cs="Times New Roman"/>
                <w:color w:val="auto"/>
                <w:spacing w:val="5"/>
                <w:lang w:eastAsia="zh-CN"/>
              </w:rPr>
              <w:t>/2×</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15" w:right="12" w:firstLine="10"/>
              <w:rPr>
                <w:color w:val="auto"/>
                <w:lang w:eastAsia="zh-CN"/>
              </w:rPr>
            </w:pPr>
            <w:r>
              <w:rPr>
                <w:color w:val="auto"/>
                <w:spacing w:val="4"/>
                <w:lang w:eastAsia="zh-CN"/>
              </w:rPr>
              <w:t>单位时间内，医疗机构康复治疗师离职人数与</w:t>
            </w:r>
            <w:r>
              <w:rPr>
                <w:color w:val="auto"/>
                <w:spacing w:val="8"/>
                <w:lang w:eastAsia="zh-CN"/>
              </w:rPr>
              <w:t>康复治疗师总人数的比例。</w:t>
            </w:r>
          </w:p>
          <w:p>
            <w:pPr>
              <w:pStyle w:val="8"/>
              <w:spacing w:before="0" w:line="240" w:lineRule="exact"/>
              <w:ind w:left="21"/>
              <w:rPr>
                <w:color w:val="auto"/>
                <w:lang w:eastAsia="zh-CN"/>
              </w:rPr>
            </w:pPr>
            <w:r>
              <w:rPr>
                <w:color w:val="auto"/>
                <w:spacing w:val="8"/>
                <w:lang w:eastAsia="zh-CN"/>
              </w:rPr>
              <w:t>说明：离职指自愿离职。</w:t>
            </w:r>
          </w:p>
          <w:p>
            <w:pPr>
              <w:pStyle w:val="8"/>
              <w:spacing w:before="0" w:line="240" w:lineRule="exact"/>
              <w:ind w:left="29" w:right="10" w:hanging="6"/>
              <w:jc w:val="both"/>
              <w:rPr>
                <w:color w:val="auto"/>
                <w:lang w:eastAsia="zh-CN"/>
              </w:rPr>
            </w:pPr>
            <w:r>
              <w:rPr>
                <w:color w:val="auto"/>
                <w:spacing w:val="5"/>
                <w:lang w:eastAsia="zh-CN"/>
              </w:rPr>
              <w:t>排除：因退休、死亡或被辞退而离开医疗机构</w:t>
            </w:r>
            <w:r>
              <w:rPr>
                <w:color w:val="auto"/>
                <w:spacing w:val="4"/>
                <w:lang w:eastAsia="zh-CN"/>
              </w:rPr>
              <w:t>的康复治疗师；在同一医疗机构岗位调整的康复治疗师。</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269" w:type="dxa"/>
            <w:vMerge w:val="continue"/>
            <w:tcBorders>
              <w:top w:val="nil"/>
              <w:bottom w:val="nil"/>
            </w:tcBorders>
          </w:tcPr>
          <w:p>
            <w:pPr>
              <w:spacing w:line="240" w:lineRule="exact"/>
              <w:rPr>
                <w:color w:val="auto"/>
              </w:rPr>
            </w:pPr>
          </w:p>
        </w:tc>
        <w:tc>
          <w:tcPr>
            <w:tcW w:w="1957" w:type="dxa"/>
            <w:gridSpan w:val="2"/>
          </w:tcPr>
          <w:p>
            <w:pPr>
              <w:spacing w:line="240" w:lineRule="exact"/>
              <w:rPr>
                <w:color w:val="auto"/>
                <w:lang w:eastAsia="zh-CN"/>
              </w:rPr>
            </w:pPr>
          </w:p>
          <w:p>
            <w:pPr>
              <w:pStyle w:val="8"/>
              <w:spacing w:before="0" w:line="240" w:lineRule="exact"/>
              <w:ind w:left="19" w:right="14" w:hanging="4"/>
              <w:jc w:val="both"/>
              <w:rPr>
                <w:color w:val="auto"/>
                <w:lang w:eastAsia="zh-CN"/>
              </w:rPr>
            </w:pPr>
            <w:r>
              <w:rPr>
                <w:color w:val="auto"/>
                <w:spacing w:val="2"/>
                <w:lang w:eastAsia="zh-CN"/>
              </w:rPr>
              <w:t>（三）髋、膝关节置换</w:t>
            </w:r>
            <w:r>
              <w:rPr>
                <w:color w:val="auto"/>
                <w:spacing w:val="23"/>
                <w:lang w:eastAsia="zh-CN"/>
              </w:rPr>
              <w:t>术后患者早期康复介</w:t>
            </w:r>
            <w:r>
              <w:rPr>
                <w:color w:val="auto"/>
                <w:spacing w:val="4"/>
                <w:lang w:eastAsia="zh-CN"/>
              </w:rPr>
              <w:t>入率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2"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单位时间内早期康复介入的住</w:t>
            </w:r>
            <w:r>
              <w:rPr>
                <w:color w:val="auto"/>
                <w:spacing w:val="8"/>
                <w:lang w:eastAsia="zh-CN"/>
              </w:rPr>
              <w:t>院髋、膝关节置换术后患者数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3"/>
                <w:lang w:eastAsia="zh-CN"/>
              </w:rPr>
              <w:t>期住院髋、膝关节置换术后患者总</w:t>
            </w:r>
            <w:r>
              <w:rPr>
                <w:color w:val="auto"/>
                <w:lang w:eastAsia="zh-CN"/>
              </w:rPr>
              <w:t>数</w:t>
            </w:r>
            <w:r>
              <w:rPr>
                <w:rFonts w:ascii="Times New Roman" w:hAnsi="Times New Roman" w:eastAsia="Times New Roman" w:cs="Times New Roman"/>
                <w:color w:val="auto"/>
                <w:lang w:eastAsia="zh-CN"/>
              </w:rPr>
              <w:t>×100%</w:t>
            </w:r>
          </w:p>
        </w:tc>
        <w:tc>
          <w:tcPr>
            <w:tcW w:w="3943" w:type="dxa"/>
          </w:tcPr>
          <w:p>
            <w:pPr>
              <w:pStyle w:val="8"/>
              <w:spacing w:before="0" w:line="240" w:lineRule="exact"/>
              <w:ind w:left="21" w:right="10" w:firstLine="4"/>
              <w:jc w:val="both"/>
              <w:rPr>
                <w:color w:val="auto"/>
                <w:lang w:eastAsia="zh-CN"/>
              </w:rPr>
            </w:pPr>
            <w:r>
              <w:rPr>
                <w:color w:val="auto"/>
                <w:spacing w:val="5"/>
                <w:lang w:eastAsia="zh-CN"/>
              </w:rPr>
              <w:t>单位时间内，接受早期康复介入的住院髋、膝关节置换术后患者数占同期住院髋、膝关节置</w:t>
            </w:r>
            <w:r>
              <w:rPr>
                <w:color w:val="auto"/>
                <w:spacing w:val="8"/>
                <w:lang w:eastAsia="zh-CN"/>
              </w:rPr>
              <w:t>换术后患者总数的比例。</w:t>
            </w:r>
          </w:p>
          <w:p>
            <w:pPr>
              <w:pStyle w:val="8"/>
              <w:spacing w:before="0" w:line="240" w:lineRule="exact"/>
              <w:ind w:left="27" w:right="10" w:hanging="6"/>
              <w:jc w:val="both"/>
              <w:rPr>
                <w:color w:val="auto"/>
                <w:lang w:eastAsia="zh-CN"/>
              </w:rPr>
            </w:pPr>
            <w:r>
              <w:rPr>
                <w:color w:val="auto"/>
                <w:spacing w:val="5"/>
                <w:lang w:eastAsia="zh-CN"/>
              </w:rPr>
              <w:t>说明：髋、膝关节置换术后患者早期康复介入</w:t>
            </w:r>
            <w:r>
              <w:rPr>
                <w:color w:val="auto"/>
                <w:spacing w:val="13"/>
                <w:lang w:eastAsia="zh-CN"/>
              </w:rPr>
              <w:t>首次诊疗时间应当在关节置换术后</w:t>
            </w:r>
            <w:r>
              <w:rPr>
                <w:rFonts w:ascii="Times New Roman" w:hAnsi="Times New Roman" w:eastAsia="Times New Roman" w:cs="Times New Roman"/>
                <w:color w:val="auto"/>
                <w:spacing w:val="13"/>
                <w:lang w:eastAsia="zh-CN"/>
              </w:rPr>
              <w:t>24</w:t>
            </w:r>
            <w:r>
              <w:rPr>
                <w:color w:val="auto"/>
                <w:spacing w:val="13"/>
                <w:lang w:eastAsia="zh-CN"/>
              </w:rPr>
              <w:t>小时</w:t>
            </w:r>
            <w:r>
              <w:rPr>
                <w:color w:val="auto"/>
                <w:spacing w:val="-3"/>
                <w:lang w:eastAsia="zh-CN"/>
              </w:rPr>
              <w:t>内。</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269" w:type="dxa"/>
            <w:vMerge w:val="continue"/>
            <w:tcBorders>
              <w:top w:val="nil"/>
              <w:bottom w:val="nil"/>
            </w:tcBorders>
          </w:tcPr>
          <w:p>
            <w:pPr>
              <w:spacing w:line="240" w:lineRule="exact"/>
              <w:rPr>
                <w:color w:val="auto"/>
              </w:rPr>
            </w:pPr>
          </w:p>
        </w:tc>
        <w:tc>
          <w:tcPr>
            <w:tcW w:w="978"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8" w:right="16" w:hanging="3"/>
              <w:rPr>
                <w:color w:val="auto"/>
                <w:lang w:eastAsia="zh-CN"/>
              </w:rPr>
            </w:pPr>
            <w:r>
              <w:rPr>
                <w:color w:val="auto"/>
                <w:spacing w:val="-2"/>
                <w:lang w:eastAsia="zh-CN"/>
              </w:rPr>
              <w:t>（四）住院</w:t>
            </w:r>
            <w:r>
              <w:rPr>
                <w:color w:val="auto"/>
                <w:spacing w:val="7"/>
                <w:lang w:eastAsia="zh-CN"/>
              </w:rPr>
              <w:t>患者康复评定率</w:t>
            </w:r>
          </w:p>
        </w:tc>
        <w:tc>
          <w:tcPr>
            <w:tcW w:w="979" w:type="dxa"/>
          </w:tcPr>
          <w:p>
            <w:pPr>
              <w:pStyle w:val="8"/>
              <w:spacing w:before="0" w:line="240" w:lineRule="exact"/>
              <w:ind w:left="18" w:right="165" w:firstLine="13"/>
              <w:jc w:val="both"/>
              <w:rPr>
                <w:color w:val="auto"/>
              </w:rPr>
            </w:pPr>
            <w:r>
              <w:rPr>
                <w:rFonts w:ascii="Times New Roman" w:hAnsi="Times New Roman" w:eastAsia="Times New Roman" w:cs="Times New Roman"/>
                <w:color w:val="auto"/>
                <w:spacing w:val="3"/>
              </w:rPr>
              <w:t>1.</w:t>
            </w:r>
            <w:r>
              <w:rPr>
                <w:color w:val="auto"/>
                <w:spacing w:val="3"/>
              </w:rPr>
              <w:t>住院患</w:t>
            </w:r>
            <w:r>
              <w:rPr>
                <w:color w:val="auto"/>
                <w:spacing w:val="7"/>
              </w:rPr>
              <w:t>者康复评</w:t>
            </w:r>
            <w:r>
              <w:rPr>
                <w:color w:val="auto"/>
                <w:spacing w:val="4"/>
              </w:rPr>
              <w:t>定率</w:t>
            </w:r>
          </w:p>
        </w:tc>
        <w:tc>
          <w:tcPr>
            <w:tcW w:w="1814" w:type="dxa"/>
          </w:tcPr>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出院患者中康复评定的人数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6"/>
                <w:lang w:eastAsia="zh-CN"/>
              </w:rPr>
              <w:t>期医院出院患者总人数</w:t>
            </w:r>
            <w:r>
              <w:rPr>
                <w:rFonts w:ascii="Times New Roman" w:hAnsi="Times New Roman" w:eastAsia="Times New Roman" w:cs="Times New Roman"/>
                <w:color w:val="auto"/>
                <w:spacing w:val="6"/>
                <w:lang w:eastAsia="zh-CN"/>
              </w:rPr>
              <w:t>×100%</w:t>
            </w:r>
          </w:p>
        </w:tc>
        <w:tc>
          <w:tcPr>
            <w:tcW w:w="3943" w:type="dxa"/>
          </w:tcPr>
          <w:p>
            <w:pPr>
              <w:pStyle w:val="8"/>
              <w:spacing w:before="0" w:line="240" w:lineRule="exact"/>
              <w:ind w:left="24" w:right="12" w:firstLine="1"/>
              <w:rPr>
                <w:color w:val="auto"/>
                <w:lang w:eastAsia="zh-CN"/>
              </w:rPr>
            </w:pPr>
            <w:r>
              <w:rPr>
                <w:color w:val="auto"/>
                <w:spacing w:val="4"/>
                <w:lang w:eastAsia="zh-CN"/>
              </w:rPr>
              <w:t>单位时间内，出院患者中康复评定的人数占同</w:t>
            </w:r>
            <w:r>
              <w:rPr>
                <w:color w:val="auto"/>
                <w:spacing w:val="8"/>
                <w:lang w:eastAsia="zh-CN"/>
              </w:rPr>
              <w:t>期医院出院患者总人数的比例。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bottom w:val="nil"/>
            </w:tcBorders>
          </w:tcPr>
          <w:p>
            <w:pPr>
              <w:spacing w:line="240" w:lineRule="exact"/>
              <w:rPr>
                <w:color w:val="auto"/>
              </w:rPr>
            </w:pPr>
          </w:p>
        </w:tc>
        <w:tc>
          <w:tcPr>
            <w:tcW w:w="979" w:type="dxa"/>
          </w:tcPr>
          <w:p>
            <w:pPr>
              <w:pStyle w:val="8"/>
              <w:spacing w:before="0" w:line="240" w:lineRule="exact"/>
              <w:ind w:left="21" w:right="16" w:hanging="8"/>
              <w:jc w:val="both"/>
              <w:rPr>
                <w:color w:val="auto"/>
                <w:lang w:eastAsia="zh-CN"/>
              </w:rPr>
            </w:pPr>
            <w:r>
              <w:rPr>
                <w:rFonts w:ascii="Times New Roman" w:hAnsi="Times New Roman" w:eastAsia="Times New Roman" w:cs="Times New Roman"/>
                <w:color w:val="auto"/>
                <w:spacing w:val="-4"/>
                <w:lang w:eastAsia="zh-CN"/>
              </w:rPr>
              <w:t>2.</w:t>
            </w:r>
            <w:r>
              <w:rPr>
                <w:color w:val="auto"/>
                <w:spacing w:val="-4"/>
                <w:lang w:eastAsia="zh-CN"/>
              </w:rPr>
              <w:t>脑卒中患者运动</w:t>
            </w:r>
            <w:r>
              <w:rPr>
                <w:color w:val="auto"/>
                <w:spacing w:val="-5"/>
                <w:lang w:eastAsia="zh-CN"/>
              </w:rPr>
              <w:t>功能评定</w:t>
            </w:r>
            <w:r>
              <w:rPr>
                <w:color w:val="auto"/>
                <w:lang w:eastAsia="zh-CN"/>
              </w:rPr>
              <w:t>率</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68"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单位时间内进行运动功能评定</w:t>
            </w:r>
            <w:r>
              <w:rPr>
                <w:color w:val="auto"/>
                <w:spacing w:val="8"/>
                <w:lang w:eastAsia="zh-CN"/>
              </w:rPr>
              <w:t>的住院脑卒中患者数</w:t>
            </w:r>
            <w:r>
              <w:rPr>
                <w:rFonts w:ascii="Times New Roman" w:hAnsi="Times New Roman" w:eastAsia="Times New Roman" w:cs="Times New Roman"/>
                <w:color w:val="auto"/>
                <w:spacing w:val="8"/>
                <w:lang w:eastAsia="zh-CN"/>
              </w:rPr>
              <w:t>/</w:t>
            </w:r>
            <w:r>
              <w:rPr>
                <w:color w:val="auto"/>
                <w:spacing w:val="8"/>
                <w:lang w:eastAsia="zh-CN"/>
              </w:rPr>
              <w:t>同期住院脑</w:t>
            </w:r>
            <w:r>
              <w:rPr>
                <w:color w:val="auto"/>
                <w:spacing w:val="4"/>
                <w:lang w:eastAsia="zh-CN"/>
              </w:rPr>
              <w:t>卒中患者总数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32" w:right="12" w:hanging="6"/>
              <w:rPr>
                <w:color w:val="auto"/>
                <w:lang w:eastAsia="zh-CN"/>
              </w:rPr>
            </w:pPr>
            <w:r>
              <w:rPr>
                <w:color w:val="auto"/>
                <w:spacing w:val="4"/>
                <w:lang w:eastAsia="zh-CN"/>
              </w:rPr>
              <w:t>单位时间内，进行运动功能评定的住院脑卒中</w:t>
            </w:r>
            <w:r>
              <w:rPr>
                <w:color w:val="auto"/>
                <w:spacing w:val="8"/>
                <w:lang w:eastAsia="zh-CN"/>
              </w:rPr>
              <w:t>患者数占同期住院脑卒中患者总数的比例。</w:t>
            </w:r>
          </w:p>
          <w:p>
            <w:pPr>
              <w:pStyle w:val="8"/>
              <w:spacing w:before="0" w:line="240" w:lineRule="exact"/>
              <w:ind w:left="22" w:right="6" w:hanging="1"/>
              <w:rPr>
                <w:color w:val="auto"/>
                <w:lang w:eastAsia="zh-CN"/>
              </w:rPr>
            </w:pPr>
            <w:r>
              <w:rPr>
                <w:color w:val="auto"/>
                <w:spacing w:val="6"/>
                <w:lang w:eastAsia="zh-CN"/>
              </w:rPr>
              <w:t>说明：运动功能评定包括但不限于</w:t>
            </w:r>
            <w:r>
              <w:rPr>
                <w:rFonts w:ascii="Times New Roman" w:hAnsi="Times New Roman" w:eastAsia="Times New Roman" w:cs="Times New Roman"/>
                <w:color w:val="auto"/>
                <w:lang w:eastAsia="zh-CN"/>
              </w:rPr>
              <w:t>Brunnstrom</w:t>
            </w:r>
            <w:r>
              <w:rPr>
                <w:color w:val="auto"/>
                <w:spacing w:val="14"/>
                <w:lang w:eastAsia="zh-CN"/>
              </w:rPr>
              <w:t>分</w:t>
            </w:r>
            <w:r>
              <w:rPr>
                <w:rFonts w:ascii="Times New Roman" w:hAnsi="Times New Roman" w:eastAsia="Times New Roman" w:cs="Times New Roman"/>
                <w:color w:val="auto"/>
                <w:lang w:eastAsia="zh-CN"/>
              </w:rPr>
              <w:t>Fugl</w:t>
            </w:r>
            <w:r>
              <w:rPr>
                <w:rFonts w:ascii="Times New Roman" w:hAnsi="Times New Roman" w:eastAsia="Times New Roman" w:cs="Times New Roman"/>
                <w:color w:val="auto"/>
                <w:spacing w:val="14"/>
                <w:lang w:eastAsia="zh-CN"/>
              </w:rPr>
              <w:t>-</w:t>
            </w:r>
            <w:r>
              <w:rPr>
                <w:rFonts w:ascii="Times New Roman" w:hAnsi="Times New Roman" w:eastAsia="Times New Roman" w:cs="Times New Roman"/>
                <w:color w:val="auto"/>
                <w:lang w:eastAsia="zh-CN"/>
              </w:rPr>
              <w:t>Meyer</w:t>
            </w:r>
            <w:r>
              <w:rPr>
                <w:color w:val="auto"/>
                <w:spacing w:val="14"/>
                <w:lang w:eastAsia="zh-CN"/>
              </w:rPr>
              <w:t>运动功能评分、上田敏偏瘫功</w:t>
            </w:r>
            <w:r>
              <w:rPr>
                <w:color w:val="auto"/>
                <w:spacing w:val="11"/>
                <w:lang w:eastAsia="zh-CN"/>
              </w:rPr>
              <w:t>能评价、</w:t>
            </w:r>
            <w:r>
              <w:rPr>
                <w:rFonts w:ascii="Times New Roman" w:hAnsi="Times New Roman" w:eastAsia="Times New Roman" w:cs="Times New Roman"/>
                <w:color w:val="auto"/>
                <w:lang w:eastAsia="zh-CN"/>
              </w:rPr>
              <w:t>Rivermead</w:t>
            </w:r>
            <w:r>
              <w:rPr>
                <w:color w:val="auto"/>
                <w:spacing w:val="11"/>
                <w:lang w:eastAsia="zh-CN"/>
              </w:rPr>
              <w:t>运动指数评分等。</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bottom w:val="nil"/>
            </w:tcBorders>
          </w:tcPr>
          <w:p>
            <w:pPr>
              <w:spacing w:line="240" w:lineRule="exact"/>
              <w:rPr>
                <w:color w:val="auto"/>
              </w:rPr>
            </w:pPr>
          </w:p>
        </w:tc>
        <w:tc>
          <w:tcPr>
            <w:tcW w:w="979" w:type="dxa"/>
          </w:tcPr>
          <w:p>
            <w:pPr>
              <w:pStyle w:val="8"/>
              <w:spacing w:before="0" w:line="240" w:lineRule="exact"/>
              <w:ind w:left="21" w:right="16" w:hanging="4"/>
              <w:jc w:val="both"/>
              <w:rPr>
                <w:color w:val="auto"/>
                <w:lang w:eastAsia="zh-CN"/>
              </w:rPr>
            </w:pPr>
            <w:r>
              <w:rPr>
                <w:rFonts w:ascii="Times New Roman" w:hAnsi="Times New Roman" w:eastAsia="Times New Roman" w:cs="Times New Roman"/>
                <w:color w:val="auto"/>
                <w:spacing w:val="-4"/>
                <w:lang w:eastAsia="zh-CN"/>
              </w:rPr>
              <w:t>3.</w:t>
            </w:r>
            <w:r>
              <w:rPr>
                <w:color w:val="auto"/>
                <w:spacing w:val="-4"/>
                <w:lang w:eastAsia="zh-CN"/>
              </w:rPr>
              <w:t>脑卒中</w:t>
            </w:r>
            <w:r>
              <w:rPr>
                <w:color w:val="auto"/>
                <w:spacing w:val="-2"/>
                <w:lang w:eastAsia="zh-CN"/>
              </w:rPr>
              <w:t>患者言语</w:t>
            </w:r>
            <w:r>
              <w:rPr>
                <w:color w:val="auto"/>
                <w:spacing w:val="-5"/>
                <w:lang w:eastAsia="zh-CN"/>
              </w:rPr>
              <w:t>功能评定</w:t>
            </w:r>
            <w:r>
              <w:rPr>
                <w:color w:val="auto"/>
                <w:lang w:eastAsia="zh-CN"/>
              </w:rPr>
              <w:t>率</w:t>
            </w:r>
          </w:p>
        </w:tc>
        <w:tc>
          <w:tcPr>
            <w:tcW w:w="1814" w:type="dxa"/>
          </w:tcPr>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68"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单位时间内进行言语功能评定</w:t>
            </w:r>
            <w:r>
              <w:rPr>
                <w:color w:val="auto"/>
                <w:spacing w:val="8"/>
                <w:lang w:eastAsia="zh-CN"/>
              </w:rPr>
              <w:t>的住院脑卒中患者数</w:t>
            </w:r>
            <w:r>
              <w:rPr>
                <w:rFonts w:ascii="Times New Roman" w:hAnsi="Times New Roman" w:eastAsia="Times New Roman" w:cs="Times New Roman"/>
                <w:color w:val="auto"/>
                <w:spacing w:val="8"/>
                <w:lang w:eastAsia="zh-CN"/>
              </w:rPr>
              <w:t>/</w:t>
            </w:r>
            <w:r>
              <w:rPr>
                <w:color w:val="auto"/>
                <w:spacing w:val="8"/>
                <w:lang w:eastAsia="zh-CN"/>
              </w:rPr>
              <w:t>同期住院脑</w:t>
            </w:r>
            <w:r>
              <w:rPr>
                <w:color w:val="auto"/>
                <w:spacing w:val="4"/>
                <w:lang w:eastAsia="zh-CN"/>
              </w:rPr>
              <w:t>卒中患者总数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32" w:right="12" w:hanging="6"/>
              <w:rPr>
                <w:color w:val="auto"/>
                <w:lang w:eastAsia="zh-CN"/>
              </w:rPr>
            </w:pPr>
            <w:r>
              <w:rPr>
                <w:color w:val="auto"/>
                <w:spacing w:val="4"/>
                <w:lang w:eastAsia="zh-CN"/>
              </w:rPr>
              <w:t>单位时间内，进行言语功能评定的住院脑卒中</w:t>
            </w:r>
            <w:r>
              <w:rPr>
                <w:color w:val="auto"/>
                <w:spacing w:val="8"/>
                <w:lang w:eastAsia="zh-CN"/>
              </w:rPr>
              <w:t>患者数占同期住院脑卒中患者总数的比例。</w:t>
            </w:r>
          </w:p>
          <w:p>
            <w:pPr>
              <w:pStyle w:val="8"/>
              <w:spacing w:before="0" w:line="240" w:lineRule="exact"/>
              <w:ind w:left="19" w:right="12" w:firstLine="1"/>
              <w:rPr>
                <w:color w:val="auto"/>
                <w:lang w:eastAsia="zh-CN"/>
              </w:rPr>
            </w:pPr>
            <w:r>
              <w:rPr>
                <w:color w:val="auto"/>
                <w:spacing w:val="5"/>
                <w:lang w:eastAsia="zh-CN"/>
              </w:rPr>
              <w:t>说明：言语功能评定包括但不限于失语症筛查</w:t>
            </w:r>
            <w:r>
              <w:rPr>
                <w:color w:val="auto"/>
                <w:spacing w:val="10"/>
                <w:lang w:eastAsia="zh-CN"/>
              </w:rPr>
              <w:t>表、</w:t>
            </w:r>
            <w:r>
              <w:rPr>
                <w:rFonts w:ascii="Times New Roman" w:hAnsi="Times New Roman" w:eastAsia="Times New Roman" w:cs="Times New Roman"/>
                <w:color w:val="auto"/>
                <w:lang w:eastAsia="zh-CN"/>
              </w:rPr>
              <w:t>BDAE</w:t>
            </w:r>
            <w:r>
              <w:rPr>
                <w:color w:val="auto"/>
                <w:spacing w:val="10"/>
                <w:lang w:eastAsia="zh-CN"/>
              </w:rPr>
              <w:t>、</w:t>
            </w:r>
            <w:r>
              <w:rPr>
                <w:rFonts w:ascii="Times New Roman" w:hAnsi="Times New Roman" w:eastAsia="Times New Roman" w:cs="Times New Roman"/>
                <w:color w:val="auto"/>
                <w:lang w:eastAsia="zh-CN"/>
              </w:rPr>
              <w:t>WAB</w:t>
            </w:r>
            <w:r>
              <w:rPr>
                <w:color w:val="auto"/>
                <w:spacing w:val="10"/>
                <w:lang w:eastAsia="zh-CN"/>
              </w:rPr>
              <w:t>、</w:t>
            </w:r>
            <w:r>
              <w:rPr>
                <w:rFonts w:ascii="Times New Roman" w:hAnsi="Times New Roman" w:eastAsia="Times New Roman" w:cs="Times New Roman"/>
                <w:color w:val="auto"/>
                <w:lang w:eastAsia="zh-CN"/>
              </w:rPr>
              <w:t>Frenchay</w:t>
            </w:r>
            <w:r>
              <w:rPr>
                <w:color w:val="auto"/>
                <w:spacing w:val="10"/>
                <w:lang w:eastAsia="zh-CN"/>
              </w:rPr>
              <w:t>评定等。</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bottom w:val="nil"/>
            </w:tcBorders>
          </w:tcPr>
          <w:p>
            <w:pPr>
              <w:spacing w:line="240" w:lineRule="exact"/>
              <w:rPr>
                <w:color w:val="auto"/>
              </w:rPr>
            </w:pPr>
          </w:p>
        </w:tc>
        <w:tc>
          <w:tcPr>
            <w:tcW w:w="979" w:type="dxa"/>
          </w:tcPr>
          <w:p>
            <w:pPr>
              <w:spacing w:line="240" w:lineRule="exact"/>
              <w:rPr>
                <w:color w:val="auto"/>
                <w:lang w:eastAsia="zh-CN"/>
              </w:rPr>
            </w:pPr>
          </w:p>
          <w:p>
            <w:pPr>
              <w:pStyle w:val="8"/>
              <w:spacing w:before="0" w:line="240" w:lineRule="exact"/>
              <w:ind w:left="21" w:right="16" w:hanging="9"/>
              <w:jc w:val="both"/>
              <w:rPr>
                <w:color w:val="auto"/>
                <w:lang w:eastAsia="zh-CN"/>
              </w:rPr>
            </w:pPr>
            <w:r>
              <w:rPr>
                <w:rFonts w:ascii="Times New Roman" w:hAnsi="Times New Roman" w:eastAsia="Times New Roman" w:cs="Times New Roman"/>
                <w:color w:val="auto"/>
                <w:spacing w:val="-4"/>
                <w:lang w:eastAsia="zh-CN"/>
              </w:rPr>
              <w:t>4.</w:t>
            </w:r>
            <w:r>
              <w:rPr>
                <w:color w:val="auto"/>
                <w:spacing w:val="-4"/>
                <w:lang w:eastAsia="zh-CN"/>
              </w:rPr>
              <w:t>脑卒中患者吞咽</w:t>
            </w:r>
            <w:r>
              <w:rPr>
                <w:color w:val="auto"/>
                <w:spacing w:val="-5"/>
                <w:lang w:eastAsia="zh-CN"/>
              </w:rPr>
              <w:t>功能评定</w:t>
            </w:r>
            <w:r>
              <w:rPr>
                <w:color w:val="auto"/>
                <w:lang w:eastAsia="zh-CN"/>
              </w:rPr>
              <w:t>率</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5" w:right="13" w:firstLine="3"/>
              <w:rPr>
                <w:color w:val="auto"/>
                <w:lang w:eastAsia="zh-CN"/>
              </w:rPr>
            </w:pPr>
            <w:r>
              <w:rPr>
                <w:color w:val="auto"/>
                <w:spacing w:val="7"/>
                <w:lang w:eastAsia="zh-CN"/>
              </w:rPr>
              <w:t>定量指标，达标类指</w:t>
            </w:r>
            <w:r>
              <w:rPr>
                <w:color w:val="auto"/>
                <w:spacing w:val="8"/>
                <w:lang w:eastAsia="zh-CN"/>
              </w:rPr>
              <w:t>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4" w:right="68"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单位时间内进行吞咽功能评定</w:t>
            </w:r>
            <w:r>
              <w:rPr>
                <w:color w:val="auto"/>
                <w:spacing w:val="8"/>
                <w:lang w:eastAsia="zh-CN"/>
              </w:rPr>
              <w:t>的住院脑卒中患者数</w:t>
            </w:r>
            <w:r>
              <w:rPr>
                <w:rFonts w:ascii="Times New Roman" w:hAnsi="Times New Roman" w:eastAsia="Times New Roman" w:cs="Times New Roman"/>
                <w:color w:val="auto"/>
                <w:spacing w:val="8"/>
                <w:lang w:eastAsia="zh-CN"/>
              </w:rPr>
              <w:t>/</w:t>
            </w:r>
            <w:r>
              <w:rPr>
                <w:color w:val="auto"/>
                <w:spacing w:val="8"/>
                <w:lang w:eastAsia="zh-CN"/>
              </w:rPr>
              <w:t>同期住院脑</w:t>
            </w:r>
            <w:r>
              <w:rPr>
                <w:color w:val="auto"/>
                <w:spacing w:val="4"/>
                <w:lang w:eastAsia="zh-CN"/>
              </w:rPr>
              <w:t>卒中患者总数</w:t>
            </w:r>
            <w:r>
              <w:rPr>
                <w:rFonts w:ascii="Times New Roman" w:hAnsi="Times New Roman" w:eastAsia="Times New Roman" w:cs="Times New Roman"/>
                <w:color w:val="auto"/>
                <w:spacing w:val="4"/>
                <w:lang w:eastAsia="zh-CN"/>
              </w:rPr>
              <w:t>×100%</w:t>
            </w:r>
          </w:p>
        </w:tc>
        <w:tc>
          <w:tcPr>
            <w:tcW w:w="3943" w:type="dxa"/>
          </w:tcPr>
          <w:p>
            <w:pPr>
              <w:pStyle w:val="8"/>
              <w:spacing w:before="0" w:line="240" w:lineRule="exact"/>
              <w:ind w:left="32" w:right="12" w:hanging="6"/>
              <w:rPr>
                <w:color w:val="auto"/>
                <w:lang w:eastAsia="zh-CN"/>
              </w:rPr>
            </w:pPr>
            <w:r>
              <w:rPr>
                <w:color w:val="auto"/>
                <w:spacing w:val="4"/>
                <w:lang w:eastAsia="zh-CN"/>
              </w:rPr>
              <w:t>单位时间内，进行吞咽功能评定的住院脑卒中</w:t>
            </w:r>
            <w:r>
              <w:rPr>
                <w:color w:val="auto"/>
                <w:spacing w:val="8"/>
                <w:lang w:eastAsia="zh-CN"/>
              </w:rPr>
              <w:t>患者数占同期住院脑卒中患者总数的比例。</w:t>
            </w:r>
          </w:p>
          <w:p>
            <w:pPr>
              <w:pStyle w:val="8"/>
              <w:spacing w:before="0" w:line="240" w:lineRule="exact"/>
              <w:ind w:left="21" w:right="7"/>
              <w:rPr>
                <w:color w:val="auto"/>
                <w:lang w:eastAsia="zh-CN"/>
              </w:rPr>
            </w:pPr>
            <w:r>
              <w:rPr>
                <w:color w:val="auto"/>
                <w:spacing w:val="5"/>
                <w:lang w:eastAsia="zh-CN"/>
              </w:rPr>
              <w:t>说明：吞咽功能评定包括但不限于洼田饮水试</w:t>
            </w:r>
            <w:r>
              <w:rPr>
                <w:color w:val="auto"/>
                <w:spacing w:val="3"/>
                <w:lang w:eastAsia="zh-CN"/>
              </w:rPr>
              <w:t>验、容积－粘度吞咽测试（</w:t>
            </w:r>
            <w:r>
              <w:rPr>
                <w:rFonts w:ascii="Times New Roman" w:hAnsi="Times New Roman" w:eastAsia="Times New Roman" w:cs="Times New Roman"/>
                <w:color w:val="auto"/>
                <w:spacing w:val="3"/>
                <w:lang w:eastAsia="zh-CN"/>
              </w:rPr>
              <w:t>V-</w:t>
            </w:r>
            <w:r>
              <w:rPr>
                <w:rFonts w:ascii="Times New Roman" w:hAnsi="Times New Roman" w:eastAsia="Times New Roman" w:cs="Times New Roman"/>
                <w:color w:val="auto"/>
                <w:lang w:eastAsia="zh-CN"/>
              </w:rPr>
              <w:t>VST</w:t>
            </w:r>
            <w:r>
              <w:rPr>
                <w:color w:val="auto"/>
                <w:spacing w:val="3"/>
                <w:lang w:eastAsia="zh-CN"/>
              </w:rPr>
              <w:t>）、视频</w:t>
            </w:r>
            <w:r>
              <w:rPr>
                <w:rFonts w:ascii="Times New Roman" w:hAnsi="Times New Roman" w:eastAsia="Times New Roman" w:cs="Times New Roman"/>
                <w:color w:val="auto"/>
                <w:spacing w:val="3"/>
                <w:lang w:eastAsia="zh-CN"/>
              </w:rPr>
              <w:t>X</w:t>
            </w:r>
            <w:r>
              <w:rPr>
                <w:color w:val="auto"/>
                <w:spacing w:val="9"/>
                <w:lang w:eastAsia="zh-CN"/>
              </w:rPr>
              <w:t>线透视吞咽检查（</w:t>
            </w:r>
            <w:r>
              <w:rPr>
                <w:rFonts w:ascii="Times New Roman" w:hAnsi="Times New Roman" w:eastAsia="Times New Roman" w:cs="Times New Roman"/>
                <w:color w:val="auto"/>
                <w:lang w:eastAsia="zh-CN"/>
              </w:rPr>
              <w:t>VFSS</w:t>
            </w:r>
            <w:r>
              <w:rPr>
                <w:color w:val="auto"/>
                <w:spacing w:val="9"/>
                <w:lang w:eastAsia="zh-CN"/>
              </w:rPr>
              <w:t>）、</w:t>
            </w:r>
          </w:p>
          <w:p>
            <w:pPr>
              <w:pStyle w:val="8"/>
              <w:spacing w:before="0" w:line="240" w:lineRule="exact"/>
              <w:ind w:left="32"/>
              <w:rPr>
                <w:color w:val="auto"/>
                <w:lang w:eastAsia="zh-CN"/>
              </w:rPr>
            </w:pPr>
            <w:r>
              <w:rPr>
                <w:color w:val="auto"/>
                <w:spacing w:val="9"/>
                <w:lang w:eastAsia="zh-CN"/>
              </w:rPr>
              <w:t>纤维内镜吞咽功能检查（</w:t>
            </w:r>
            <w:r>
              <w:rPr>
                <w:rFonts w:ascii="Times New Roman" w:hAnsi="Times New Roman" w:eastAsia="Times New Roman" w:cs="Times New Roman"/>
                <w:color w:val="auto"/>
                <w:lang w:eastAsia="zh-CN"/>
              </w:rPr>
              <w:t>FEES</w:t>
            </w:r>
            <w:r>
              <w:rPr>
                <w:color w:val="auto"/>
                <w:spacing w:val="9"/>
                <w:lang w:eastAsia="zh-CN"/>
              </w:rPr>
              <w:t>）等。</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bl>
    <w:p>
      <w:pPr>
        <w:spacing w:line="240" w:lineRule="exact"/>
        <w:rPr>
          <w:color w:val="auto"/>
        </w:rPr>
      </w:pPr>
    </w:p>
    <w:p>
      <w:pPr>
        <w:spacing w:line="240" w:lineRule="exact"/>
        <w:rPr>
          <w:color w:val="auto"/>
        </w:rPr>
        <w:sectPr>
          <w:footerReference r:id="rId53"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978"/>
        <w:gridCol w:w="979"/>
        <w:gridCol w:w="1814"/>
        <w:gridCol w:w="960"/>
        <w:gridCol w:w="2939"/>
        <w:gridCol w:w="3943"/>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7" w:type="dxa"/>
            <w:gridSpan w:val="2"/>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5"/>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3" w:type="dxa"/>
          </w:tcPr>
          <w:p>
            <w:pPr>
              <w:spacing w:before="0" w:line="240" w:lineRule="exact"/>
              <w:ind w:left="1575"/>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269" w:type="dxa"/>
            <w:vMerge w:val="restart"/>
            <w:tcBorders>
              <w:bottom w:val="nil"/>
            </w:tcBorders>
          </w:tcPr>
          <w:p>
            <w:pPr>
              <w:spacing w:line="240" w:lineRule="exact"/>
              <w:rPr>
                <w:color w:val="auto"/>
              </w:rPr>
            </w:pPr>
          </w:p>
        </w:tc>
        <w:tc>
          <w:tcPr>
            <w:tcW w:w="978" w:type="dxa"/>
            <w:vMerge w:val="restart"/>
            <w:tcBorders>
              <w:bottom w:val="nil"/>
            </w:tcBorders>
          </w:tcPr>
          <w:p>
            <w:pPr>
              <w:spacing w:line="240" w:lineRule="exact"/>
              <w:rPr>
                <w:color w:val="auto"/>
              </w:rPr>
            </w:pPr>
          </w:p>
        </w:tc>
        <w:tc>
          <w:tcPr>
            <w:tcW w:w="979" w:type="dxa"/>
          </w:tcPr>
          <w:p>
            <w:pPr>
              <w:pStyle w:val="8"/>
              <w:spacing w:before="0" w:line="240" w:lineRule="exact"/>
              <w:ind w:left="19" w:right="16"/>
              <w:jc w:val="both"/>
              <w:rPr>
                <w:color w:val="auto"/>
                <w:lang w:eastAsia="zh-CN"/>
              </w:rPr>
            </w:pPr>
            <w:r>
              <w:rPr>
                <w:rFonts w:ascii="Times New Roman" w:hAnsi="Times New Roman" w:eastAsia="Times New Roman" w:cs="Times New Roman"/>
                <w:color w:val="auto"/>
                <w:spacing w:val="-1"/>
                <w:lang w:eastAsia="zh-CN"/>
              </w:rPr>
              <w:t>5.</w:t>
            </w:r>
            <w:r>
              <w:rPr>
                <w:color w:val="auto"/>
                <w:spacing w:val="-1"/>
                <w:lang w:eastAsia="zh-CN"/>
              </w:rPr>
              <w:t>脊髓损</w:t>
            </w:r>
            <w:r>
              <w:rPr>
                <w:color w:val="auto"/>
                <w:spacing w:val="-5"/>
                <w:lang w:eastAsia="zh-CN"/>
              </w:rPr>
              <w:t>伤患者神经功能评</w:t>
            </w:r>
            <w:r>
              <w:rPr>
                <w:color w:val="auto"/>
                <w:spacing w:val="4"/>
                <w:lang w:eastAsia="zh-CN"/>
              </w:rPr>
              <w:t>定率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22" w:right="68" w:hanging="6"/>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单位时间内进行神经功能评定</w:t>
            </w:r>
            <w:r>
              <w:rPr>
                <w:color w:val="auto"/>
                <w:spacing w:val="8"/>
                <w:lang w:eastAsia="zh-CN"/>
              </w:rPr>
              <w:t>的住院脊髓损伤患者数</w:t>
            </w:r>
            <w:r>
              <w:rPr>
                <w:rFonts w:ascii="Times New Roman" w:hAnsi="Times New Roman" w:eastAsia="Times New Roman" w:cs="Times New Roman"/>
                <w:color w:val="auto"/>
                <w:spacing w:val="8"/>
                <w:lang w:eastAsia="zh-CN"/>
              </w:rPr>
              <w:t>/</w:t>
            </w:r>
            <w:r>
              <w:rPr>
                <w:color w:val="auto"/>
                <w:spacing w:val="8"/>
                <w:lang w:eastAsia="zh-CN"/>
              </w:rPr>
              <w:t>同期住院</w:t>
            </w:r>
            <w:r>
              <w:rPr>
                <w:color w:val="auto"/>
                <w:spacing w:val="5"/>
                <w:lang w:eastAsia="zh-CN"/>
              </w:rPr>
              <w:t>脊髓损伤患者总数</w:t>
            </w:r>
            <w:r>
              <w:rPr>
                <w:rFonts w:ascii="Times New Roman" w:hAnsi="Times New Roman" w:eastAsia="Times New Roman" w:cs="Times New Roman"/>
                <w:color w:val="auto"/>
                <w:spacing w:val="5"/>
                <w:lang w:eastAsia="zh-CN"/>
              </w:rPr>
              <w:t>×100%</w:t>
            </w:r>
          </w:p>
        </w:tc>
        <w:tc>
          <w:tcPr>
            <w:tcW w:w="3943" w:type="dxa"/>
          </w:tcPr>
          <w:p>
            <w:pPr>
              <w:pStyle w:val="8"/>
              <w:spacing w:before="0" w:line="240" w:lineRule="exact"/>
              <w:ind w:left="18" w:right="10" w:firstLine="7"/>
              <w:jc w:val="both"/>
              <w:rPr>
                <w:color w:val="auto"/>
                <w:lang w:eastAsia="zh-CN"/>
              </w:rPr>
            </w:pPr>
            <w:r>
              <w:rPr>
                <w:color w:val="auto"/>
                <w:spacing w:val="4"/>
                <w:lang w:eastAsia="zh-CN"/>
              </w:rPr>
              <w:t>单位时间内，进行神经功能评定的住院脊髓损</w:t>
            </w:r>
            <w:r>
              <w:rPr>
                <w:color w:val="auto"/>
                <w:spacing w:val="15"/>
                <w:lang w:eastAsia="zh-CN"/>
              </w:rPr>
              <w:t>伤患者数占同期住院脊髓损伤患者总数的比</w:t>
            </w:r>
            <w:r>
              <w:rPr>
                <w:color w:val="auto"/>
                <w:spacing w:val="2"/>
                <w:lang w:eastAsia="zh-CN"/>
              </w:rPr>
              <w:t>例。</w:t>
            </w:r>
          </w:p>
          <w:p>
            <w:pPr>
              <w:pStyle w:val="8"/>
              <w:spacing w:before="0" w:line="240" w:lineRule="exact"/>
              <w:ind w:left="18" w:right="10" w:firstLine="3"/>
              <w:rPr>
                <w:color w:val="auto"/>
                <w:lang w:eastAsia="zh-CN"/>
              </w:rPr>
            </w:pPr>
            <w:r>
              <w:rPr>
                <w:color w:val="auto"/>
                <w:spacing w:val="13"/>
                <w:lang w:eastAsia="zh-CN"/>
              </w:rPr>
              <w:t>说明：神经功能评定是指进行神经损伤平面</w:t>
            </w:r>
            <w:r>
              <w:rPr>
                <w:color w:val="auto"/>
                <w:spacing w:val="11"/>
                <w:lang w:eastAsia="zh-CN"/>
              </w:rPr>
              <w:t>（</w:t>
            </w:r>
            <w:r>
              <w:rPr>
                <w:rFonts w:ascii="Times New Roman" w:hAnsi="Times New Roman" w:eastAsia="Times New Roman" w:cs="Times New Roman"/>
                <w:color w:val="auto"/>
                <w:lang w:eastAsia="zh-CN"/>
              </w:rPr>
              <w:t>NLI</w:t>
            </w:r>
            <w:r>
              <w:rPr>
                <w:color w:val="auto"/>
                <w:spacing w:val="11"/>
                <w:lang w:eastAsia="zh-CN"/>
              </w:rPr>
              <w:t>）和</w:t>
            </w:r>
            <w:r>
              <w:rPr>
                <w:rFonts w:ascii="Times New Roman" w:hAnsi="Times New Roman" w:eastAsia="Times New Roman" w:cs="Times New Roman"/>
                <w:color w:val="auto"/>
                <w:lang w:eastAsia="zh-CN"/>
              </w:rPr>
              <w:t>ASIA</w:t>
            </w:r>
            <w:r>
              <w:rPr>
                <w:color w:val="auto"/>
                <w:spacing w:val="11"/>
                <w:lang w:eastAsia="zh-CN"/>
              </w:rPr>
              <w:t>损伤分级（</w:t>
            </w:r>
            <w:r>
              <w:rPr>
                <w:rFonts w:ascii="Times New Roman" w:hAnsi="Times New Roman" w:eastAsia="Times New Roman" w:cs="Times New Roman"/>
                <w:color w:val="auto"/>
                <w:lang w:eastAsia="zh-CN"/>
              </w:rPr>
              <w:t>AIS</w:t>
            </w:r>
            <w:r>
              <w:rPr>
                <w:color w:val="auto"/>
                <w:spacing w:val="11"/>
                <w:lang w:eastAsia="zh-CN"/>
              </w:rPr>
              <w:t>）评定。</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tcBorders>
          </w:tcPr>
          <w:p>
            <w:pPr>
              <w:spacing w:line="240" w:lineRule="exact"/>
              <w:rPr>
                <w:color w:val="auto"/>
              </w:rPr>
            </w:pPr>
          </w:p>
        </w:tc>
        <w:tc>
          <w:tcPr>
            <w:tcW w:w="979" w:type="dxa"/>
          </w:tcPr>
          <w:p>
            <w:pPr>
              <w:pStyle w:val="8"/>
              <w:spacing w:before="0" w:line="240" w:lineRule="exact"/>
              <w:ind w:left="19" w:right="16" w:hanging="1"/>
              <w:jc w:val="both"/>
              <w:rPr>
                <w:color w:val="auto"/>
                <w:lang w:eastAsia="zh-CN"/>
              </w:rPr>
            </w:pPr>
            <w:r>
              <w:rPr>
                <w:rFonts w:ascii="Times New Roman" w:hAnsi="Times New Roman" w:eastAsia="Times New Roman" w:cs="Times New Roman"/>
                <w:color w:val="auto"/>
                <w:spacing w:val="6"/>
                <w:lang w:eastAsia="zh-CN"/>
              </w:rPr>
              <w:t>6.</w:t>
            </w:r>
            <w:r>
              <w:rPr>
                <w:color w:val="auto"/>
                <w:spacing w:val="6"/>
                <w:lang w:eastAsia="zh-CN"/>
              </w:rPr>
              <w:t>髋、膝关</w:t>
            </w:r>
            <w:r>
              <w:rPr>
                <w:color w:val="auto"/>
                <w:spacing w:val="-2"/>
                <w:lang w:eastAsia="zh-CN"/>
              </w:rPr>
              <w:t>节置换术</w:t>
            </w:r>
            <w:r>
              <w:rPr>
                <w:color w:val="auto"/>
                <w:spacing w:val="-4"/>
                <w:lang w:eastAsia="zh-CN"/>
              </w:rPr>
              <w:t>后患者功</w:t>
            </w:r>
            <w:r>
              <w:rPr>
                <w:color w:val="auto"/>
                <w:spacing w:val="7"/>
                <w:lang w:eastAsia="zh-CN"/>
              </w:rPr>
              <w:t>能评定率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12" w:right="12" w:firstLine="3"/>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单位时间内进行术后功能评定</w:t>
            </w:r>
            <w:r>
              <w:rPr>
                <w:color w:val="auto"/>
                <w:spacing w:val="3"/>
                <w:lang w:eastAsia="zh-CN"/>
              </w:rPr>
              <w:t>的住院髋、膝关节置换术后患者数</w:t>
            </w:r>
            <w:r>
              <w:rPr>
                <w:rFonts w:ascii="Times New Roman" w:hAnsi="Times New Roman" w:eastAsia="Times New Roman" w:cs="Times New Roman"/>
                <w:color w:val="auto"/>
                <w:spacing w:val="9"/>
                <w:lang w:eastAsia="zh-CN"/>
              </w:rPr>
              <w:t>/</w:t>
            </w:r>
            <w:r>
              <w:rPr>
                <w:color w:val="auto"/>
                <w:spacing w:val="9"/>
                <w:lang w:eastAsia="zh-CN"/>
              </w:rPr>
              <w:t>同期住院髋、膝置换术后患者总</w:t>
            </w:r>
            <w:r>
              <w:rPr>
                <w:color w:val="auto"/>
                <w:spacing w:val="2"/>
                <w:lang w:eastAsia="zh-CN"/>
              </w:rPr>
              <w:t>数</w:t>
            </w:r>
            <w:r>
              <w:rPr>
                <w:rFonts w:ascii="Times New Roman" w:hAnsi="Times New Roman" w:eastAsia="Times New Roman" w:cs="Times New Roman"/>
                <w:color w:val="auto"/>
                <w:spacing w:val="2"/>
                <w:lang w:eastAsia="zh-CN"/>
              </w:rPr>
              <w:t>×100%</w:t>
            </w:r>
          </w:p>
        </w:tc>
        <w:tc>
          <w:tcPr>
            <w:tcW w:w="3943" w:type="dxa"/>
          </w:tcPr>
          <w:p>
            <w:pPr>
              <w:pStyle w:val="8"/>
              <w:spacing w:before="0" w:line="240" w:lineRule="exact"/>
              <w:ind w:left="23" w:right="10" w:firstLine="2"/>
              <w:jc w:val="both"/>
              <w:rPr>
                <w:color w:val="auto"/>
                <w:lang w:eastAsia="zh-CN"/>
              </w:rPr>
            </w:pPr>
            <w:r>
              <w:rPr>
                <w:color w:val="auto"/>
                <w:spacing w:val="5"/>
                <w:lang w:eastAsia="zh-CN"/>
              </w:rPr>
              <w:t>单位时间内，进行术后功能评定的住院髋、膝关节置换术后患者数占同期住院髋、膝置换术</w:t>
            </w:r>
            <w:r>
              <w:rPr>
                <w:color w:val="auto"/>
                <w:spacing w:val="7"/>
                <w:lang w:eastAsia="zh-CN"/>
              </w:rPr>
              <w:t>后患者总数的比例。</w:t>
            </w:r>
          </w:p>
          <w:p>
            <w:pPr>
              <w:pStyle w:val="8"/>
              <w:spacing w:before="0" w:line="240" w:lineRule="exact"/>
              <w:ind w:left="22" w:right="10" w:hanging="1"/>
              <w:rPr>
                <w:color w:val="auto"/>
              </w:rPr>
            </w:pPr>
            <w:r>
              <w:rPr>
                <w:color w:val="auto"/>
                <w:spacing w:val="1"/>
              </w:rPr>
              <w:t>说明：评定包括但不限于</w:t>
            </w:r>
            <w:r>
              <w:rPr>
                <w:rFonts w:ascii="Times New Roman" w:hAnsi="Times New Roman" w:eastAsia="Times New Roman" w:cs="Times New Roman"/>
                <w:color w:val="auto"/>
              </w:rPr>
              <w:t>HHS</w:t>
            </w:r>
            <w:r>
              <w:rPr>
                <w:color w:val="auto"/>
                <w:spacing w:val="1"/>
              </w:rPr>
              <w:t>评分、</w:t>
            </w:r>
            <w:r>
              <w:rPr>
                <w:rFonts w:ascii="Times New Roman" w:hAnsi="Times New Roman" w:eastAsia="Times New Roman" w:cs="Times New Roman"/>
                <w:color w:val="auto"/>
              </w:rPr>
              <w:t>HSS</w:t>
            </w:r>
            <w:r>
              <w:rPr>
                <w:color w:val="auto"/>
                <w:spacing w:val="1"/>
              </w:rPr>
              <w:t>评</w:t>
            </w:r>
            <w:r>
              <w:rPr>
                <w:color w:val="auto"/>
                <w:spacing w:val="8"/>
              </w:rPr>
              <w:t>分、</w:t>
            </w:r>
            <w:r>
              <w:rPr>
                <w:rFonts w:ascii="Times New Roman" w:hAnsi="Times New Roman" w:eastAsia="Times New Roman" w:cs="Times New Roman"/>
                <w:color w:val="auto"/>
              </w:rPr>
              <w:t>KneeScore</w:t>
            </w:r>
            <w:r>
              <w:rPr>
                <w:color w:val="auto"/>
                <w:spacing w:val="8"/>
              </w:rPr>
              <w:t>评分等。</w:t>
            </w:r>
          </w:p>
        </w:tc>
        <w:tc>
          <w:tcPr>
            <w:tcW w:w="1177" w:type="dxa"/>
          </w:tcPr>
          <w:p>
            <w:pPr>
              <w:spacing w:line="240" w:lineRule="exact"/>
              <w:rPr>
                <w:color w:val="auto"/>
              </w:rPr>
            </w:pPr>
          </w:p>
          <w:p>
            <w:pPr>
              <w:spacing w:line="240" w:lineRule="exact"/>
              <w:rPr>
                <w:color w:val="auto"/>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69" w:type="dxa"/>
            <w:vMerge w:val="continue"/>
            <w:tcBorders>
              <w:top w:val="nil"/>
              <w:bottom w:val="nil"/>
            </w:tcBorders>
          </w:tcPr>
          <w:p>
            <w:pPr>
              <w:spacing w:line="240" w:lineRule="exact"/>
              <w:rPr>
                <w:color w:val="auto"/>
              </w:rPr>
            </w:pPr>
          </w:p>
        </w:tc>
        <w:tc>
          <w:tcPr>
            <w:tcW w:w="1957" w:type="dxa"/>
            <w:gridSpan w:val="2"/>
          </w:tcPr>
          <w:p>
            <w:pPr>
              <w:pStyle w:val="8"/>
              <w:spacing w:before="0" w:line="240" w:lineRule="exact"/>
              <w:ind w:left="18" w:right="14" w:hanging="3"/>
              <w:rPr>
                <w:color w:val="auto"/>
                <w:lang w:eastAsia="zh-CN"/>
              </w:rPr>
            </w:pPr>
            <w:r>
              <w:rPr>
                <w:color w:val="auto"/>
                <w:spacing w:val="2"/>
                <w:lang w:eastAsia="zh-CN"/>
              </w:rPr>
              <w:t>（五）住院患者康复诊</w:t>
            </w:r>
            <w:r>
              <w:rPr>
                <w:color w:val="auto"/>
                <w:spacing w:val="8"/>
                <w:lang w:eastAsia="zh-CN"/>
              </w:rPr>
              <w:t>疗计划制定率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7" w:right="212" w:hanging="21"/>
              <w:rPr>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出院患者中制定康复诊疗计划</w:t>
            </w:r>
            <w:r>
              <w:rPr>
                <w:color w:val="auto"/>
                <w:spacing w:val="7"/>
                <w:lang w:eastAsia="zh-CN"/>
              </w:rPr>
              <w:t>的人数</w:t>
            </w:r>
            <w:r>
              <w:rPr>
                <w:rFonts w:ascii="Times New Roman" w:hAnsi="Times New Roman" w:eastAsia="Times New Roman" w:cs="Times New Roman"/>
                <w:color w:val="auto"/>
                <w:spacing w:val="7"/>
                <w:lang w:eastAsia="zh-CN"/>
              </w:rPr>
              <w:t>/</w:t>
            </w:r>
            <w:r>
              <w:rPr>
                <w:color w:val="auto"/>
                <w:spacing w:val="7"/>
                <w:lang w:eastAsia="zh-CN"/>
              </w:rPr>
              <w:t>同期出院患者总人数</w:t>
            </w:r>
          </w:p>
          <w:p>
            <w:pPr>
              <w:spacing w:line="240" w:lineRule="exact"/>
              <w:ind w:left="28"/>
              <w:rPr>
                <w:rFonts w:ascii="Times New Roman" w:hAnsi="Times New Roman" w:eastAsia="Times New Roman" w:cs="Times New Roman"/>
                <w:color w:val="auto"/>
                <w:sz w:val="19"/>
                <w:szCs w:val="19"/>
              </w:rPr>
            </w:pPr>
            <w:r>
              <w:rPr>
                <w:rFonts w:ascii="Times New Roman" w:hAnsi="Times New Roman" w:eastAsia="Times New Roman" w:cs="Times New Roman"/>
                <w:color w:val="auto"/>
                <w:spacing w:val="-3"/>
                <w:position w:val="2"/>
                <w:sz w:val="19"/>
                <w:szCs w:val="19"/>
              </w:rPr>
              <w:t>×100%</w:t>
            </w:r>
          </w:p>
        </w:tc>
        <w:tc>
          <w:tcPr>
            <w:tcW w:w="3943" w:type="dxa"/>
          </w:tcPr>
          <w:p>
            <w:pPr>
              <w:pStyle w:val="8"/>
              <w:spacing w:before="0" w:line="240" w:lineRule="exact"/>
              <w:ind w:left="22" w:right="12" w:firstLine="3"/>
              <w:rPr>
                <w:color w:val="auto"/>
                <w:lang w:eastAsia="zh-CN"/>
              </w:rPr>
            </w:pPr>
            <w:r>
              <w:rPr>
                <w:color w:val="auto"/>
                <w:spacing w:val="4"/>
                <w:lang w:eastAsia="zh-CN"/>
              </w:rPr>
              <w:t>单位时间内，出院患者中制定康复诊疗计划的</w:t>
            </w:r>
            <w:r>
              <w:rPr>
                <w:color w:val="auto"/>
                <w:spacing w:val="8"/>
                <w:lang w:eastAsia="zh-CN"/>
              </w:rPr>
              <w:t>人数占同期医院出院患者总人数的比例。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69" w:type="dxa"/>
            <w:vMerge w:val="continue"/>
            <w:tcBorders>
              <w:top w:val="nil"/>
              <w:bottom w:val="nil"/>
            </w:tcBorders>
          </w:tcPr>
          <w:p>
            <w:pPr>
              <w:spacing w:line="240" w:lineRule="exact"/>
              <w:rPr>
                <w:color w:val="auto"/>
              </w:rPr>
            </w:pPr>
          </w:p>
        </w:tc>
        <w:tc>
          <w:tcPr>
            <w:tcW w:w="1957" w:type="dxa"/>
            <w:gridSpan w:val="2"/>
          </w:tcPr>
          <w:p>
            <w:pPr>
              <w:pStyle w:val="8"/>
              <w:spacing w:before="0" w:line="240" w:lineRule="exact"/>
              <w:ind w:left="18" w:right="14" w:hanging="3"/>
              <w:rPr>
                <w:color w:val="auto"/>
                <w:lang w:eastAsia="zh-CN"/>
              </w:rPr>
            </w:pPr>
            <w:r>
              <w:rPr>
                <w:color w:val="auto"/>
                <w:spacing w:val="2"/>
                <w:lang w:eastAsia="zh-CN"/>
              </w:rPr>
              <w:t>（六）住院患者康复治</w:t>
            </w:r>
            <w:r>
              <w:rPr>
                <w:color w:val="auto"/>
                <w:spacing w:val="5"/>
                <w:lang w:eastAsia="zh-CN"/>
              </w:rPr>
              <w:t>疗率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3" w:right="154" w:hanging="7"/>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出院患者中康复治疗的人数</w:t>
            </w:r>
            <w:r>
              <w:rPr>
                <w:rFonts w:ascii="Times New Roman" w:hAnsi="Times New Roman" w:eastAsia="Times New Roman" w:cs="Times New Roman"/>
                <w:color w:val="auto"/>
                <w:spacing w:val="8"/>
                <w:lang w:eastAsia="zh-CN"/>
              </w:rPr>
              <w:t>/</w:t>
            </w:r>
            <w:r>
              <w:rPr>
                <w:color w:val="auto"/>
                <w:spacing w:val="8"/>
                <w:lang w:eastAsia="zh-CN"/>
              </w:rPr>
              <w:t>同</w:t>
            </w:r>
            <w:r>
              <w:rPr>
                <w:color w:val="auto"/>
                <w:spacing w:val="6"/>
                <w:lang w:eastAsia="zh-CN"/>
              </w:rPr>
              <w:t>期医院出院患者总人数</w:t>
            </w:r>
            <w:r>
              <w:rPr>
                <w:rFonts w:ascii="Times New Roman" w:hAnsi="Times New Roman" w:eastAsia="Times New Roman" w:cs="Times New Roman"/>
                <w:color w:val="auto"/>
                <w:spacing w:val="6"/>
                <w:lang w:eastAsia="zh-CN"/>
              </w:rPr>
              <w:t>×100%</w:t>
            </w:r>
          </w:p>
        </w:tc>
        <w:tc>
          <w:tcPr>
            <w:tcW w:w="3943" w:type="dxa"/>
          </w:tcPr>
          <w:p>
            <w:pPr>
              <w:pStyle w:val="8"/>
              <w:spacing w:before="0" w:line="240" w:lineRule="exact"/>
              <w:ind w:left="24" w:right="12" w:firstLine="1"/>
              <w:rPr>
                <w:color w:val="auto"/>
                <w:lang w:eastAsia="zh-CN"/>
              </w:rPr>
            </w:pPr>
            <w:r>
              <w:rPr>
                <w:color w:val="auto"/>
                <w:spacing w:val="4"/>
                <w:lang w:eastAsia="zh-CN"/>
              </w:rPr>
              <w:t>单位时间内，出院患者中康复治疗的人数占同</w:t>
            </w:r>
            <w:r>
              <w:rPr>
                <w:color w:val="auto"/>
                <w:spacing w:val="8"/>
                <w:lang w:eastAsia="zh-CN"/>
              </w:rPr>
              <w:t>期医院出院患者总人数的比例。</w:t>
            </w:r>
          </w:p>
        </w:tc>
        <w:tc>
          <w:tcPr>
            <w:tcW w:w="1177" w:type="dxa"/>
          </w:tcPr>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978"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0" w:right="16" w:hanging="15"/>
              <w:rPr>
                <w:color w:val="auto"/>
                <w:lang w:eastAsia="zh-CN"/>
              </w:rPr>
            </w:pPr>
            <w:r>
              <w:rPr>
                <w:color w:val="auto"/>
                <w:spacing w:val="-2"/>
                <w:lang w:eastAsia="zh-CN"/>
              </w:rPr>
              <w:t>（七）日常</w:t>
            </w:r>
            <w:r>
              <w:rPr>
                <w:color w:val="auto"/>
                <w:spacing w:val="4"/>
                <w:lang w:eastAsia="zh-CN"/>
              </w:rPr>
              <w:t>生活活动</w:t>
            </w:r>
            <w:r>
              <w:rPr>
                <w:color w:val="auto"/>
                <w:spacing w:val="-2"/>
                <w:lang w:eastAsia="zh-CN"/>
              </w:rPr>
              <w:t>能力</w:t>
            </w:r>
          </w:p>
          <w:p>
            <w:pPr>
              <w:pStyle w:val="8"/>
              <w:spacing w:before="0" w:line="240" w:lineRule="exact"/>
              <w:ind w:left="24" w:right="14" w:hanging="9"/>
              <w:rPr>
                <w:color w:val="auto"/>
              </w:rPr>
            </w:pPr>
            <w:r>
              <w:rPr>
                <w:color w:val="auto"/>
                <w:spacing w:val="-3"/>
              </w:rPr>
              <w:t>（</w:t>
            </w:r>
            <w:r>
              <w:rPr>
                <w:rFonts w:ascii="Times New Roman" w:hAnsi="Times New Roman" w:eastAsia="Times New Roman" w:cs="Times New Roman"/>
                <w:color w:val="auto"/>
                <w:spacing w:val="-3"/>
              </w:rPr>
              <w:t>ADL</w:t>
            </w:r>
            <w:r>
              <w:rPr>
                <w:color w:val="auto"/>
                <w:spacing w:val="-3"/>
              </w:rPr>
              <w:t>）改</w:t>
            </w:r>
            <w:r>
              <w:rPr>
                <w:color w:val="auto"/>
                <w:spacing w:val="2"/>
              </w:rPr>
              <w:t>善率</w:t>
            </w:r>
          </w:p>
        </w:tc>
        <w:tc>
          <w:tcPr>
            <w:tcW w:w="979" w:type="dxa"/>
          </w:tcPr>
          <w:p>
            <w:pPr>
              <w:pStyle w:val="8"/>
              <w:spacing w:before="0" w:line="240" w:lineRule="exact"/>
              <w:ind w:left="21" w:firstLine="11"/>
              <w:jc w:val="both"/>
              <w:rPr>
                <w:color w:val="auto"/>
                <w:lang w:eastAsia="zh-CN"/>
              </w:rPr>
            </w:pPr>
            <w:r>
              <w:rPr>
                <w:rFonts w:ascii="Times New Roman" w:hAnsi="Times New Roman" w:eastAsia="Times New Roman" w:cs="Times New Roman"/>
                <w:color w:val="auto"/>
                <w:spacing w:val="-19"/>
                <w:lang w:eastAsia="zh-CN"/>
              </w:rPr>
              <w:t>1.</w:t>
            </w:r>
            <w:r>
              <w:rPr>
                <w:color w:val="auto"/>
                <w:spacing w:val="-19"/>
                <w:lang w:eastAsia="zh-CN"/>
              </w:rPr>
              <w:t>日常生</w:t>
            </w:r>
            <w:r>
              <w:rPr>
                <w:color w:val="auto"/>
                <w:spacing w:val="33"/>
                <w:lang w:eastAsia="zh-CN"/>
              </w:rPr>
              <w:t>活活动能</w:t>
            </w:r>
            <w:r>
              <w:rPr>
                <w:color w:val="auto"/>
                <w:spacing w:val="-2"/>
                <w:lang w:eastAsia="zh-CN"/>
              </w:rPr>
              <w:t>力（</w:t>
            </w:r>
            <w:r>
              <w:rPr>
                <w:rFonts w:ascii="Times New Roman" w:hAnsi="Times New Roman" w:eastAsia="Times New Roman" w:cs="Times New Roman"/>
                <w:color w:val="auto"/>
                <w:spacing w:val="-2"/>
                <w:lang w:eastAsia="zh-CN"/>
              </w:rPr>
              <w:t>ADL</w:t>
            </w:r>
            <w:r>
              <w:rPr>
                <w:color w:val="auto"/>
                <w:spacing w:val="-2"/>
                <w:lang w:eastAsia="zh-CN"/>
              </w:rPr>
              <w:t>）</w:t>
            </w:r>
            <w:r>
              <w:rPr>
                <w:color w:val="auto"/>
                <w:spacing w:val="-3"/>
                <w:lang w:eastAsia="zh-CN"/>
              </w:rPr>
              <w:t>改善率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99" w:hanging="5"/>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单位时间内</w:t>
            </w:r>
            <w:r>
              <w:rPr>
                <w:rFonts w:ascii="Times New Roman" w:hAnsi="Times New Roman" w:eastAsia="Times New Roman" w:cs="Times New Roman"/>
                <w:color w:val="auto"/>
                <w:lang w:eastAsia="zh-CN"/>
              </w:rPr>
              <w:t>ADL</w:t>
            </w:r>
            <w:r>
              <w:rPr>
                <w:color w:val="auto"/>
                <w:spacing w:val="8"/>
                <w:lang w:eastAsia="zh-CN"/>
              </w:rPr>
              <w:t>改善的住院患</w:t>
            </w:r>
            <w:r>
              <w:rPr>
                <w:color w:val="auto"/>
                <w:spacing w:val="6"/>
                <w:lang w:eastAsia="zh-CN"/>
              </w:rPr>
              <w:t>者数</w:t>
            </w:r>
            <w:r>
              <w:rPr>
                <w:rFonts w:ascii="Times New Roman" w:hAnsi="Times New Roman" w:eastAsia="Times New Roman" w:cs="Times New Roman"/>
                <w:color w:val="auto"/>
                <w:spacing w:val="6"/>
                <w:lang w:eastAsia="zh-CN"/>
              </w:rPr>
              <w:t>/</w:t>
            </w:r>
            <w:r>
              <w:rPr>
                <w:color w:val="auto"/>
                <w:spacing w:val="6"/>
                <w:lang w:eastAsia="zh-CN"/>
              </w:rPr>
              <w:t>同期住院患者总数</w:t>
            </w:r>
            <w:r>
              <w:rPr>
                <w:rFonts w:ascii="Times New Roman" w:hAnsi="Times New Roman" w:eastAsia="Times New Roman" w:cs="Times New Roman"/>
                <w:color w:val="auto"/>
                <w:spacing w:val="6"/>
                <w:lang w:eastAsia="zh-CN"/>
              </w:rPr>
              <w:t>×100%</w:t>
            </w:r>
          </w:p>
        </w:tc>
        <w:tc>
          <w:tcPr>
            <w:tcW w:w="3943" w:type="dxa"/>
          </w:tcPr>
          <w:p>
            <w:pPr>
              <w:pStyle w:val="8"/>
              <w:spacing w:before="0" w:line="240" w:lineRule="exact"/>
              <w:ind w:left="25" w:right="10"/>
              <w:rPr>
                <w:color w:val="auto"/>
                <w:lang w:eastAsia="zh-CN"/>
              </w:rPr>
            </w:pPr>
            <w:r>
              <w:rPr>
                <w:color w:val="auto"/>
                <w:spacing w:val="11"/>
                <w:lang w:eastAsia="zh-CN"/>
              </w:rPr>
              <w:t>单位时间内，</w:t>
            </w:r>
            <w:r>
              <w:rPr>
                <w:rFonts w:ascii="Times New Roman" w:hAnsi="Times New Roman" w:eastAsia="Times New Roman" w:cs="Times New Roman"/>
                <w:color w:val="auto"/>
                <w:lang w:eastAsia="zh-CN"/>
              </w:rPr>
              <w:t>ADL</w:t>
            </w:r>
            <w:r>
              <w:rPr>
                <w:color w:val="auto"/>
                <w:spacing w:val="11"/>
                <w:lang w:eastAsia="zh-CN"/>
              </w:rPr>
              <w:t>改善的住院患者数占同期</w:t>
            </w:r>
            <w:r>
              <w:rPr>
                <w:color w:val="auto"/>
                <w:spacing w:val="7"/>
                <w:lang w:eastAsia="zh-CN"/>
              </w:rPr>
              <w:t>住院患者总数的比例。</w:t>
            </w:r>
          </w:p>
          <w:p>
            <w:pPr>
              <w:pStyle w:val="8"/>
              <w:spacing w:line="240" w:lineRule="exact"/>
              <w:ind w:left="41" w:hanging="20"/>
              <w:rPr>
                <w:color w:val="auto"/>
              </w:rPr>
            </w:pPr>
            <w:r>
              <w:rPr>
                <w:color w:val="auto"/>
                <w:spacing w:val="3"/>
              </w:rPr>
              <w:t>说明：</w:t>
            </w:r>
            <w:r>
              <w:rPr>
                <w:rFonts w:ascii="Times New Roman" w:hAnsi="Times New Roman" w:eastAsia="Times New Roman" w:cs="Times New Roman"/>
                <w:color w:val="auto"/>
              </w:rPr>
              <w:t>ADL</w:t>
            </w:r>
            <w:r>
              <w:rPr>
                <w:color w:val="auto"/>
                <w:spacing w:val="3"/>
              </w:rPr>
              <w:t>评定包括但不限于</w:t>
            </w:r>
            <w:r>
              <w:rPr>
                <w:rFonts w:ascii="Times New Roman" w:hAnsi="Times New Roman" w:eastAsia="Times New Roman" w:cs="Times New Roman"/>
                <w:color w:val="auto"/>
              </w:rPr>
              <w:t>Barthel</w:t>
            </w:r>
            <w:r>
              <w:rPr>
                <w:color w:val="auto"/>
                <w:spacing w:val="3"/>
              </w:rPr>
              <w:t>指数、改良</w:t>
            </w:r>
            <w:r>
              <w:rPr>
                <w:rFonts w:ascii="Times New Roman" w:hAnsi="Times New Roman" w:eastAsia="Times New Roman" w:cs="Times New Roman"/>
                <w:color w:val="auto"/>
              </w:rPr>
              <w:t>Barthel</w:t>
            </w:r>
            <w:r>
              <w:rPr>
                <w:color w:val="auto"/>
                <w:spacing w:val="3"/>
              </w:rPr>
              <w:t>指数等。</w:t>
            </w:r>
          </w:p>
        </w:tc>
        <w:tc>
          <w:tcPr>
            <w:tcW w:w="1177" w:type="dxa"/>
          </w:tcPr>
          <w:p>
            <w:pPr>
              <w:spacing w:line="240" w:lineRule="exact"/>
              <w:rPr>
                <w:color w:val="auto"/>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bottom w:val="nil"/>
            </w:tcBorders>
          </w:tcPr>
          <w:p>
            <w:pPr>
              <w:spacing w:line="240" w:lineRule="exact"/>
              <w:rPr>
                <w:color w:val="auto"/>
              </w:rPr>
            </w:pPr>
          </w:p>
        </w:tc>
        <w:tc>
          <w:tcPr>
            <w:tcW w:w="979" w:type="dxa"/>
          </w:tcPr>
          <w:p>
            <w:pPr>
              <w:pStyle w:val="8"/>
              <w:spacing w:before="0" w:line="240" w:lineRule="exact"/>
              <w:ind w:left="13"/>
              <w:rPr>
                <w:color w:val="auto"/>
                <w:lang w:eastAsia="zh-CN"/>
              </w:rPr>
            </w:pPr>
            <w:r>
              <w:rPr>
                <w:rFonts w:ascii="Times New Roman" w:hAnsi="Times New Roman" w:eastAsia="Times New Roman" w:cs="Times New Roman"/>
                <w:color w:val="auto"/>
                <w:spacing w:val="6"/>
                <w:lang w:eastAsia="zh-CN"/>
              </w:rPr>
              <w:t>2.</w:t>
            </w:r>
            <w:r>
              <w:rPr>
                <w:color w:val="auto"/>
                <w:spacing w:val="6"/>
                <w:lang w:eastAsia="zh-CN"/>
              </w:rPr>
              <w:t>脊髓损</w:t>
            </w:r>
          </w:p>
          <w:p>
            <w:pPr>
              <w:pStyle w:val="8"/>
              <w:spacing w:line="240" w:lineRule="exact"/>
              <w:ind w:left="21"/>
              <w:rPr>
                <w:color w:val="auto"/>
                <w:lang w:eastAsia="zh-CN"/>
              </w:rPr>
            </w:pPr>
            <w:r>
              <w:rPr>
                <w:color w:val="auto"/>
                <w:spacing w:val="6"/>
                <w:lang w:eastAsia="zh-CN"/>
              </w:rPr>
              <w:t>伤患者</w:t>
            </w:r>
          </w:p>
          <w:p>
            <w:pPr>
              <w:pStyle w:val="8"/>
              <w:spacing w:before="0" w:line="240" w:lineRule="exact"/>
              <w:ind w:left="23" w:right="55" w:hanging="12"/>
              <w:rPr>
                <w:color w:val="auto"/>
                <w:lang w:eastAsia="zh-CN"/>
              </w:rPr>
            </w:pPr>
            <w:r>
              <w:rPr>
                <w:rFonts w:ascii="Times New Roman" w:hAnsi="Times New Roman" w:eastAsia="Times New Roman" w:cs="Times New Roman"/>
                <w:color w:val="auto"/>
                <w:lang w:eastAsia="zh-CN"/>
              </w:rPr>
              <w:t>ADL</w:t>
            </w:r>
            <w:r>
              <w:rPr>
                <w:color w:val="auto"/>
                <w:spacing w:val="3"/>
                <w:lang w:eastAsia="zh-CN"/>
              </w:rPr>
              <w:t>改善</w:t>
            </w:r>
            <w:r>
              <w:rPr>
                <w:color w:val="auto"/>
                <w:lang w:eastAsia="zh-CN"/>
              </w:rPr>
              <w:t>率</w:t>
            </w:r>
          </w:p>
        </w:tc>
        <w:tc>
          <w:tcPr>
            <w:tcW w:w="1814" w:type="dxa"/>
          </w:tcPr>
          <w:p>
            <w:pPr>
              <w:spacing w:line="240" w:lineRule="exact"/>
              <w:rPr>
                <w:color w:val="auto"/>
                <w:lang w:eastAsia="zh-CN"/>
              </w:rPr>
            </w:pPr>
          </w:p>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4" w:right="12" w:hanging="8"/>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单位时间内</w:t>
            </w:r>
            <w:r>
              <w:rPr>
                <w:rFonts w:ascii="Times New Roman" w:hAnsi="Times New Roman" w:eastAsia="Times New Roman" w:cs="Times New Roman"/>
                <w:color w:val="auto"/>
                <w:lang w:eastAsia="zh-CN"/>
              </w:rPr>
              <w:t>ADL</w:t>
            </w:r>
            <w:r>
              <w:rPr>
                <w:color w:val="auto"/>
                <w:spacing w:val="7"/>
                <w:lang w:eastAsia="zh-CN"/>
              </w:rPr>
              <w:t>改善的住院脊</w:t>
            </w:r>
            <w:r>
              <w:rPr>
                <w:color w:val="auto"/>
                <w:spacing w:val="8"/>
                <w:lang w:eastAsia="zh-CN"/>
              </w:rPr>
              <w:t>髓损伤患者数</w:t>
            </w:r>
            <w:r>
              <w:rPr>
                <w:rFonts w:ascii="Times New Roman" w:hAnsi="Times New Roman" w:eastAsia="Times New Roman" w:cs="Times New Roman"/>
                <w:color w:val="auto"/>
                <w:spacing w:val="8"/>
                <w:lang w:eastAsia="zh-CN"/>
              </w:rPr>
              <w:t>/</w:t>
            </w:r>
            <w:r>
              <w:rPr>
                <w:color w:val="auto"/>
                <w:spacing w:val="8"/>
                <w:lang w:eastAsia="zh-CN"/>
              </w:rPr>
              <w:t>同期住院脊髓损伤</w:t>
            </w:r>
            <w:r>
              <w:rPr>
                <w:color w:val="auto"/>
                <w:spacing w:val="3"/>
                <w:lang w:eastAsia="zh-CN"/>
              </w:rPr>
              <w:t>患者总数</w:t>
            </w:r>
            <w:r>
              <w:rPr>
                <w:rFonts w:ascii="Times New Roman" w:hAnsi="Times New Roman" w:eastAsia="Times New Roman" w:cs="Times New Roman"/>
                <w:color w:val="auto"/>
                <w:spacing w:val="3"/>
                <w:lang w:eastAsia="zh-CN"/>
              </w:rPr>
              <w:t>×100%</w:t>
            </w:r>
          </w:p>
        </w:tc>
        <w:tc>
          <w:tcPr>
            <w:tcW w:w="3943" w:type="dxa"/>
          </w:tcPr>
          <w:p>
            <w:pPr>
              <w:pStyle w:val="8"/>
              <w:spacing w:before="0" w:line="240" w:lineRule="exact"/>
              <w:ind w:left="26" w:right="15"/>
              <w:rPr>
                <w:color w:val="auto"/>
                <w:lang w:eastAsia="zh-CN"/>
              </w:rPr>
            </w:pPr>
            <w:r>
              <w:rPr>
                <w:color w:val="auto"/>
                <w:spacing w:val="8"/>
                <w:lang w:eastAsia="zh-CN"/>
              </w:rPr>
              <w:t>单位时间内，</w:t>
            </w:r>
            <w:r>
              <w:rPr>
                <w:rFonts w:ascii="Times New Roman" w:hAnsi="Times New Roman" w:eastAsia="Times New Roman" w:cs="Times New Roman"/>
                <w:color w:val="auto"/>
                <w:lang w:eastAsia="zh-CN"/>
              </w:rPr>
              <w:t>ADL</w:t>
            </w:r>
            <w:r>
              <w:rPr>
                <w:color w:val="auto"/>
                <w:spacing w:val="8"/>
                <w:lang w:eastAsia="zh-CN"/>
              </w:rPr>
              <w:t>改善的住院脊髓损伤患者数占同期住院脊髓损伤患者总数的比例。</w:t>
            </w:r>
          </w:p>
          <w:p>
            <w:pPr>
              <w:pStyle w:val="8"/>
              <w:spacing w:before="0" w:line="240" w:lineRule="exact"/>
              <w:ind w:left="41" w:hanging="20"/>
              <w:rPr>
                <w:color w:val="auto"/>
              </w:rPr>
            </w:pPr>
            <w:r>
              <w:rPr>
                <w:color w:val="auto"/>
                <w:spacing w:val="6"/>
              </w:rPr>
              <w:t>说明：</w:t>
            </w:r>
            <w:r>
              <w:rPr>
                <w:rFonts w:ascii="Times New Roman" w:hAnsi="Times New Roman" w:eastAsia="Times New Roman" w:cs="Times New Roman"/>
                <w:color w:val="auto"/>
              </w:rPr>
              <w:t>ADL</w:t>
            </w:r>
            <w:r>
              <w:rPr>
                <w:color w:val="auto"/>
                <w:spacing w:val="6"/>
              </w:rPr>
              <w:t>评定包括但不限于</w:t>
            </w:r>
            <w:r>
              <w:rPr>
                <w:rFonts w:ascii="Times New Roman" w:hAnsi="Times New Roman" w:eastAsia="Times New Roman" w:cs="Times New Roman"/>
                <w:color w:val="auto"/>
              </w:rPr>
              <w:t>Barthel</w:t>
            </w:r>
            <w:r>
              <w:rPr>
                <w:color w:val="auto"/>
                <w:spacing w:val="6"/>
              </w:rPr>
              <w:t>指数、改良</w:t>
            </w:r>
            <w:r>
              <w:rPr>
                <w:rFonts w:ascii="Times New Roman" w:hAnsi="Times New Roman" w:eastAsia="Times New Roman" w:cs="Times New Roman"/>
                <w:color w:val="auto"/>
              </w:rPr>
              <w:t>Barthel</w:t>
            </w:r>
            <w:r>
              <w:rPr>
                <w:color w:val="auto"/>
                <w:spacing w:val="6"/>
              </w:rPr>
              <w:t>指数、脊髓功能独立性评定</w:t>
            </w:r>
          </w:p>
          <w:p>
            <w:pPr>
              <w:pStyle w:val="8"/>
              <w:spacing w:line="240" w:lineRule="exact"/>
              <w:ind w:left="18"/>
              <w:rPr>
                <w:color w:val="auto"/>
              </w:rPr>
            </w:pPr>
            <w:r>
              <w:rPr>
                <w:color w:val="auto"/>
                <w:spacing w:val="11"/>
              </w:rPr>
              <w:t>（</w:t>
            </w:r>
            <w:r>
              <w:rPr>
                <w:rFonts w:ascii="Times New Roman" w:hAnsi="Times New Roman" w:eastAsia="Times New Roman" w:cs="Times New Roman"/>
                <w:color w:val="auto"/>
              </w:rPr>
              <w:t>SCIM</w:t>
            </w:r>
            <w:r>
              <w:rPr>
                <w:color w:val="auto"/>
                <w:spacing w:val="11"/>
              </w:rPr>
              <w:t>）等。</w:t>
            </w:r>
          </w:p>
        </w:tc>
        <w:tc>
          <w:tcPr>
            <w:tcW w:w="1177" w:type="dxa"/>
          </w:tcPr>
          <w:p>
            <w:pPr>
              <w:spacing w:line="240" w:lineRule="exact"/>
              <w:rPr>
                <w:color w:val="auto"/>
              </w:rPr>
            </w:pPr>
          </w:p>
          <w:p>
            <w:pPr>
              <w:spacing w:line="240" w:lineRule="exact"/>
              <w:rPr>
                <w:color w:val="auto"/>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69" w:type="dxa"/>
            <w:vMerge w:val="continue"/>
            <w:tcBorders>
              <w:top w:val="nil"/>
              <w:bottom w:val="nil"/>
            </w:tcBorders>
          </w:tcPr>
          <w:p>
            <w:pPr>
              <w:spacing w:line="240" w:lineRule="exact"/>
              <w:rPr>
                <w:color w:val="auto"/>
              </w:rPr>
            </w:pPr>
          </w:p>
        </w:tc>
        <w:tc>
          <w:tcPr>
            <w:tcW w:w="978" w:type="dxa"/>
            <w:vMerge w:val="continue"/>
            <w:tcBorders>
              <w:top w:val="nil"/>
            </w:tcBorders>
          </w:tcPr>
          <w:p>
            <w:pPr>
              <w:spacing w:line="240" w:lineRule="exact"/>
              <w:rPr>
                <w:color w:val="auto"/>
              </w:rPr>
            </w:pPr>
          </w:p>
        </w:tc>
        <w:tc>
          <w:tcPr>
            <w:tcW w:w="979" w:type="dxa"/>
          </w:tcPr>
          <w:p>
            <w:pPr>
              <w:pStyle w:val="8"/>
              <w:spacing w:before="0" w:line="240" w:lineRule="exact"/>
              <w:ind w:left="28" w:right="15" w:hanging="11"/>
              <w:jc w:val="both"/>
              <w:rPr>
                <w:color w:val="auto"/>
                <w:lang w:eastAsia="zh-CN"/>
              </w:rPr>
            </w:pPr>
            <w:r>
              <w:rPr>
                <w:rFonts w:ascii="Times New Roman" w:hAnsi="Times New Roman" w:eastAsia="Times New Roman" w:cs="Times New Roman"/>
                <w:color w:val="auto"/>
                <w:spacing w:val="-4"/>
                <w:lang w:eastAsia="zh-CN"/>
              </w:rPr>
              <w:t>3.</w:t>
            </w:r>
            <w:r>
              <w:rPr>
                <w:color w:val="auto"/>
                <w:spacing w:val="-4"/>
                <w:lang w:eastAsia="zh-CN"/>
              </w:rPr>
              <w:t>脑卒中</w:t>
            </w:r>
            <w:r>
              <w:rPr>
                <w:color w:val="auto"/>
                <w:spacing w:val="3"/>
                <w:lang w:eastAsia="zh-CN"/>
              </w:rPr>
              <w:t>患者</w:t>
            </w:r>
            <w:r>
              <w:rPr>
                <w:rFonts w:ascii="Times New Roman" w:hAnsi="Times New Roman" w:eastAsia="Times New Roman" w:cs="Times New Roman"/>
                <w:color w:val="auto"/>
                <w:lang w:eastAsia="zh-CN"/>
              </w:rPr>
              <w:t>ADL</w:t>
            </w:r>
            <w:r>
              <w:rPr>
                <w:color w:val="auto"/>
                <w:spacing w:val="3"/>
                <w:lang w:eastAsia="zh-CN"/>
              </w:rPr>
              <w:t>改善率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6" w:right="179"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5" w:right="12" w:hanging="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7"/>
                <w:lang w:eastAsia="zh-CN"/>
              </w:rPr>
              <w:t>=</w:t>
            </w:r>
            <w:r>
              <w:rPr>
                <w:color w:val="auto"/>
                <w:spacing w:val="7"/>
                <w:lang w:eastAsia="zh-CN"/>
              </w:rPr>
              <w:t>单位时间</w:t>
            </w:r>
            <w:r>
              <w:rPr>
                <w:rFonts w:ascii="Times New Roman" w:hAnsi="Times New Roman" w:eastAsia="Times New Roman" w:cs="Times New Roman"/>
                <w:color w:val="auto"/>
                <w:lang w:eastAsia="zh-CN"/>
              </w:rPr>
              <w:t>ADL</w:t>
            </w:r>
            <w:r>
              <w:rPr>
                <w:color w:val="auto"/>
                <w:spacing w:val="7"/>
                <w:lang w:eastAsia="zh-CN"/>
              </w:rPr>
              <w:t>改善的住院脑卒</w:t>
            </w:r>
            <w:r>
              <w:rPr>
                <w:color w:val="auto"/>
                <w:spacing w:val="8"/>
                <w:lang w:eastAsia="zh-CN"/>
              </w:rPr>
              <w:t>中患者数</w:t>
            </w:r>
            <w:r>
              <w:rPr>
                <w:rFonts w:ascii="Times New Roman" w:hAnsi="Times New Roman" w:eastAsia="Times New Roman" w:cs="Times New Roman"/>
                <w:color w:val="auto"/>
                <w:spacing w:val="8"/>
                <w:lang w:eastAsia="zh-CN"/>
              </w:rPr>
              <w:t>/</w:t>
            </w:r>
            <w:r>
              <w:rPr>
                <w:color w:val="auto"/>
                <w:spacing w:val="8"/>
                <w:lang w:eastAsia="zh-CN"/>
              </w:rPr>
              <w:t>同期住院脑卒中患者总</w:t>
            </w:r>
            <w:r>
              <w:rPr>
                <w:color w:val="auto"/>
                <w:lang w:eastAsia="zh-CN"/>
              </w:rPr>
              <w:t>数</w:t>
            </w:r>
            <w:r>
              <w:rPr>
                <w:rFonts w:ascii="Times New Roman" w:hAnsi="Times New Roman" w:eastAsia="Times New Roman" w:cs="Times New Roman"/>
                <w:color w:val="auto"/>
                <w:lang w:eastAsia="zh-CN"/>
              </w:rPr>
              <w:t>×100%</w:t>
            </w:r>
          </w:p>
        </w:tc>
        <w:tc>
          <w:tcPr>
            <w:tcW w:w="3943" w:type="dxa"/>
          </w:tcPr>
          <w:p>
            <w:pPr>
              <w:pStyle w:val="8"/>
              <w:spacing w:before="0" w:line="240" w:lineRule="exact"/>
              <w:ind w:left="53" w:right="10" w:hanging="27"/>
              <w:rPr>
                <w:color w:val="auto"/>
                <w:lang w:eastAsia="zh-CN"/>
              </w:rPr>
            </w:pPr>
            <w:r>
              <w:rPr>
                <w:color w:val="auto"/>
                <w:spacing w:val="11"/>
                <w:lang w:eastAsia="zh-CN"/>
              </w:rPr>
              <w:t>单位时间内，</w:t>
            </w:r>
            <w:r>
              <w:rPr>
                <w:rFonts w:ascii="Times New Roman" w:hAnsi="Times New Roman" w:eastAsia="Times New Roman" w:cs="Times New Roman"/>
                <w:color w:val="auto"/>
                <w:lang w:eastAsia="zh-CN"/>
              </w:rPr>
              <w:t>ADL</w:t>
            </w:r>
            <w:r>
              <w:rPr>
                <w:color w:val="auto"/>
                <w:spacing w:val="11"/>
                <w:lang w:eastAsia="zh-CN"/>
              </w:rPr>
              <w:t>改善的住院脑卒中患者数</w:t>
            </w:r>
            <w:r>
              <w:rPr>
                <w:color w:val="auto"/>
                <w:spacing w:val="6"/>
                <w:lang w:eastAsia="zh-CN"/>
              </w:rPr>
              <w:t>占同期住院脑卒中患者总数的比例。</w:t>
            </w:r>
          </w:p>
          <w:p>
            <w:pPr>
              <w:pStyle w:val="8"/>
              <w:spacing w:before="0" w:line="240" w:lineRule="exact"/>
              <w:ind w:left="41" w:hanging="20"/>
              <w:rPr>
                <w:color w:val="auto"/>
              </w:rPr>
            </w:pPr>
            <w:r>
              <w:rPr>
                <w:color w:val="auto"/>
                <w:spacing w:val="3"/>
              </w:rPr>
              <w:t>说明：</w:t>
            </w:r>
            <w:r>
              <w:rPr>
                <w:rFonts w:ascii="Times New Roman" w:hAnsi="Times New Roman" w:eastAsia="Times New Roman" w:cs="Times New Roman"/>
                <w:color w:val="auto"/>
              </w:rPr>
              <w:t>ADL</w:t>
            </w:r>
            <w:r>
              <w:rPr>
                <w:color w:val="auto"/>
                <w:spacing w:val="3"/>
              </w:rPr>
              <w:t>评定包括但不限于</w:t>
            </w:r>
            <w:r>
              <w:rPr>
                <w:rFonts w:ascii="Times New Roman" w:hAnsi="Times New Roman" w:eastAsia="Times New Roman" w:cs="Times New Roman"/>
                <w:color w:val="auto"/>
              </w:rPr>
              <w:t>Barthel</w:t>
            </w:r>
            <w:r>
              <w:rPr>
                <w:color w:val="auto"/>
                <w:spacing w:val="3"/>
              </w:rPr>
              <w:t>指数、改良</w:t>
            </w:r>
            <w:r>
              <w:rPr>
                <w:rFonts w:ascii="Times New Roman" w:hAnsi="Times New Roman" w:eastAsia="Times New Roman" w:cs="Times New Roman"/>
                <w:color w:val="auto"/>
              </w:rPr>
              <w:t>Barthel</w:t>
            </w:r>
            <w:r>
              <w:rPr>
                <w:color w:val="auto"/>
                <w:spacing w:val="3"/>
              </w:rPr>
              <w:t>指数等。</w:t>
            </w:r>
          </w:p>
        </w:tc>
        <w:tc>
          <w:tcPr>
            <w:tcW w:w="1177" w:type="dxa"/>
          </w:tcPr>
          <w:p>
            <w:pPr>
              <w:spacing w:line="240" w:lineRule="exact"/>
              <w:rPr>
                <w:color w:val="auto"/>
              </w:rPr>
            </w:pPr>
          </w:p>
          <w:p>
            <w:pPr>
              <w:pStyle w:val="8"/>
              <w:spacing w:before="0" w:line="240" w:lineRule="exact"/>
              <w:ind w:left="200"/>
              <w:rPr>
                <w:color w:val="auto"/>
              </w:rPr>
            </w:pPr>
            <w:r>
              <w:rPr>
                <w:color w:val="auto"/>
                <w:spacing w:val="6"/>
              </w:rPr>
              <w:t>监测达标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69" w:type="dxa"/>
            <w:vMerge w:val="continue"/>
            <w:tcBorders>
              <w:top w:val="nil"/>
              <w:bottom w:val="nil"/>
            </w:tcBorders>
          </w:tcPr>
          <w:p>
            <w:pPr>
              <w:spacing w:line="240" w:lineRule="exact"/>
              <w:rPr>
                <w:color w:val="auto"/>
              </w:rPr>
            </w:pPr>
          </w:p>
        </w:tc>
        <w:tc>
          <w:tcPr>
            <w:tcW w:w="1957" w:type="dxa"/>
            <w:gridSpan w:val="2"/>
          </w:tcPr>
          <w:p>
            <w:pPr>
              <w:pStyle w:val="8"/>
              <w:spacing w:before="0" w:line="240" w:lineRule="exact"/>
              <w:ind w:left="18" w:right="14" w:hanging="3"/>
              <w:rPr>
                <w:color w:val="auto"/>
                <w:lang w:eastAsia="zh-CN"/>
              </w:rPr>
            </w:pPr>
            <w:r>
              <w:rPr>
                <w:color w:val="auto"/>
                <w:spacing w:val="2"/>
                <w:lang w:eastAsia="zh-CN"/>
              </w:rPr>
              <w:t>（八）住院患者康复治</w:t>
            </w:r>
            <w:r>
              <w:rPr>
                <w:color w:val="auto"/>
                <w:spacing w:val="8"/>
                <w:lang w:eastAsia="zh-CN"/>
              </w:rPr>
              <w:t>疗错误发生率</w:t>
            </w:r>
          </w:p>
        </w:tc>
        <w:tc>
          <w:tcPr>
            <w:tcW w:w="1814" w:type="dxa"/>
          </w:tcPr>
          <w:p>
            <w:pPr>
              <w:pStyle w:val="8"/>
              <w:spacing w:before="0" w:line="240" w:lineRule="exact"/>
              <w:ind w:left="26" w:right="13"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274" w:right="179" w:hanging="85"/>
              <w:rPr>
                <w:color w:val="auto"/>
              </w:rPr>
            </w:pPr>
            <w:r>
              <w:rPr>
                <w:color w:val="auto"/>
                <w:spacing w:val="5"/>
              </w:rPr>
              <w:t>千分比</w:t>
            </w:r>
            <w:r>
              <w:rPr>
                <w:color w:val="auto"/>
                <w:spacing w:val="22"/>
              </w:rPr>
              <w:t>(</w:t>
            </w:r>
            <w:r>
              <w:rPr>
                <w:rFonts w:ascii="Times New Roman" w:hAnsi="Times New Roman" w:eastAsia="Times New Roman" w:cs="Times New Roman"/>
                <w:color w:val="auto"/>
                <w:spacing w:val="22"/>
              </w:rPr>
              <w:t>⅐</w:t>
            </w:r>
            <w:r>
              <w:rPr>
                <w:color w:val="auto"/>
                <w:spacing w:val="22"/>
              </w:rPr>
              <w:t>)</w:t>
            </w:r>
          </w:p>
        </w:tc>
        <w:tc>
          <w:tcPr>
            <w:tcW w:w="2939" w:type="dxa"/>
          </w:tcPr>
          <w:p>
            <w:pPr>
              <w:pStyle w:val="8"/>
              <w:spacing w:before="0" w:line="240" w:lineRule="exact"/>
              <w:ind w:left="31" w:right="68" w:hanging="15"/>
              <w:rPr>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单位时间内住院患者发生康复</w:t>
            </w:r>
            <w:r>
              <w:rPr>
                <w:color w:val="auto"/>
                <w:spacing w:val="8"/>
                <w:lang w:eastAsia="zh-CN"/>
              </w:rPr>
              <w:t>治疗错误的例次数</w:t>
            </w:r>
            <w:r>
              <w:rPr>
                <w:rFonts w:ascii="Times New Roman" w:hAnsi="Times New Roman" w:eastAsia="Times New Roman" w:cs="Times New Roman"/>
                <w:color w:val="auto"/>
                <w:spacing w:val="8"/>
                <w:lang w:eastAsia="zh-CN"/>
              </w:rPr>
              <w:t>/</w:t>
            </w:r>
            <w:r>
              <w:rPr>
                <w:color w:val="auto"/>
                <w:spacing w:val="8"/>
                <w:lang w:eastAsia="zh-CN"/>
              </w:rPr>
              <w:t>同期住院患者</w:t>
            </w:r>
            <w:r>
              <w:rPr>
                <w:color w:val="auto"/>
                <w:spacing w:val="5"/>
                <w:lang w:eastAsia="zh-CN"/>
              </w:rPr>
              <w:t>总床日数</w:t>
            </w:r>
          </w:p>
        </w:tc>
        <w:tc>
          <w:tcPr>
            <w:tcW w:w="3943" w:type="dxa"/>
          </w:tcPr>
          <w:p>
            <w:pPr>
              <w:pStyle w:val="8"/>
              <w:spacing w:before="0" w:line="240" w:lineRule="exact"/>
              <w:ind w:left="27" w:right="12" w:hanging="1"/>
              <w:rPr>
                <w:color w:val="auto"/>
                <w:lang w:eastAsia="zh-CN"/>
              </w:rPr>
            </w:pPr>
            <w:r>
              <w:rPr>
                <w:color w:val="auto"/>
                <w:spacing w:val="4"/>
                <w:lang w:eastAsia="zh-CN"/>
              </w:rPr>
              <w:t>单位时间内，住院患者发生康复治疗错误的例</w:t>
            </w:r>
            <w:r>
              <w:rPr>
                <w:color w:val="auto"/>
                <w:spacing w:val="8"/>
                <w:lang w:eastAsia="zh-CN"/>
              </w:rPr>
              <w:t>次数占同期住院患者总床日数的比例。</w:t>
            </w:r>
          </w:p>
        </w:tc>
        <w:tc>
          <w:tcPr>
            <w:tcW w:w="1177" w:type="dxa"/>
          </w:tcPr>
          <w:p>
            <w:pPr>
              <w:spacing w:line="240" w:lineRule="exact"/>
              <w:rPr>
                <w:color w:val="auto"/>
                <w:lang w:eastAsia="zh-CN"/>
              </w:rPr>
            </w:pPr>
          </w:p>
          <w:p>
            <w:pPr>
              <w:pStyle w:val="8"/>
              <w:spacing w:before="0" w:line="240" w:lineRule="exact"/>
              <w:ind w:left="190"/>
              <w:rPr>
                <w:color w:val="auto"/>
              </w:rPr>
            </w:pPr>
            <w:r>
              <w:rPr>
                <w:color w:val="auto"/>
                <w:spacing w:val="8"/>
              </w:rPr>
              <w:t>逐步降低</w:t>
            </w:r>
          </w:p>
        </w:tc>
      </w:tr>
    </w:tbl>
    <w:p>
      <w:pPr>
        <w:autoSpaceDE/>
        <w:autoSpaceDN/>
        <w:spacing w:line="20" w:lineRule="exact"/>
        <w:rPr>
          <w:color w:val="auto"/>
          <w:sz w:val="7"/>
        </w:rPr>
      </w:pPr>
    </w:p>
    <w:p>
      <w:pPr>
        <w:autoSpaceDE/>
        <w:autoSpaceDN/>
        <w:spacing w:line="20" w:lineRule="exact"/>
        <w:rPr>
          <w:color w:val="auto"/>
          <w:sz w:val="7"/>
          <w:szCs w:val="7"/>
        </w:rPr>
        <w:sectPr>
          <w:footerReference r:id="rId54" w:type="default"/>
          <w:pgSz w:w="16839" w:h="11906"/>
          <w:pgMar w:top="1012" w:right="1262" w:bottom="1439" w:left="1511" w:header="0" w:footer="1277" w:gutter="0"/>
          <w:pgNumType w:fmt="numberInDash"/>
          <w:cols w:space="720" w:num="1"/>
        </w:sectPr>
      </w:pPr>
    </w:p>
    <w:p>
      <w:pPr>
        <w:spacing w:before="0" w:line="240" w:lineRule="exact"/>
        <w:rPr>
          <w:color w:val="auto"/>
        </w:rPr>
      </w:pPr>
    </w:p>
    <w:p>
      <w:pPr>
        <w:spacing w:before="0" w:line="240" w:lineRule="exact"/>
        <w:rPr>
          <w:color w:val="auto"/>
        </w:rPr>
      </w:pPr>
    </w:p>
    <w:tbl>
      <w:tblPr>
        <w:tblStyle w:val="7"/>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956"/>
        <w:gridCol w:w="1814"/>
        <w:gridCol w:w="960"/>
        <w:gridCol w:w="2939"/>
        <w:gridCol w:w="394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69" w:type="dxa"/>
          </w:tcPr>
          <w:p>
            <w:pPr>
              <w:spacing w:before="0" w:line="240" w:lineRule="exact"/>
              <w:ind w:left="441"/>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1956" w:type="dxa"/>
          </w:tcPr>
          <w:p>
            <w:pPr>
              <w:spacing w:before="0" w:line="240" w:lineRule="exact"/>
              <w:ind w:left="780"/>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814" w:type="dxa"/>
          </w:tcPr>
          <w:p>
            <w:pPr>
              <w:spacing w:before="0" w:line="240" w:lineRule="exact"/>
              <w:ind w:left="509"/>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960" w:type="dxa"/>
          </w:tcPr>
          <w:p>
            <w:pPr>
              <w:spacing w:before="0" w:line="240" w:lineRule="exact"/>
              <w:ind w:left="8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2939" w:type="dxa"/>
          </w:tcPr>
          <w:p>
            <w:pPr>
              <w:spacing w:before="0" w:line="240" w:lineRule="exact"/>
              <w:ind w:left="1075"/>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3944" w:type="dxa"/>
          </w:tcPr>
          <w:p>
            <w:pPr>
              <w:spacing w:before="0" w:line="240" w:lineRule="exact"/>
              <w:ind w:left="1576"/>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1177" w:type="dxa"/>
          </w:tcPr>
          <w:p>
            <w:pPr>
              <w:spacing w:before="0" w:line="240" w:lineRule="exact"/>
              <w:ind w:left="193"/>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269" w:type="dxa"/>
            <w:vMerge w:val="restart"/>
            <w:tcBorders>
              <w:bottom w:val="nil"/>
            </w:tcBorders>
          </w:tcPr>
          <w:p>
            <w:pPr>
              <w:spacing w:line="240" w:lineRule="exact"/>
              <w:rPr>
                <w:color w:val="auto"/>
              </w:rPr>
            </w:pPr>
          </w:p>
        </w:tc>
        <w:tc>
          <w:tcPr>
            <w:tcW w:w="1956" w:type="dxa"/>
          </w:tcPr>
          <w:p>
            <w:pPr>
              <w:pStyle w:val="8"/>
              <w:spacing w:before="0" w:line="240" w:lineRule="exact"/>
              <w:ind w:left="19" w:right="13" w:hanging="4"/>
              <w:rPr>
                <w:color w:val="auto"/>
                <w:lang w:eastAsia="zh-CN"/>
              </w:rPr>
            </w:pPr>
            <w:r>
              <w:rPr>
                <w:color w:val="auto"/>
                <w:spacing w:val="2"/>
                <w:lang w:eastAsia="zh-CN"/>
              </w:rPr>
              <w:t>（九）脊髓损伤患者泌</w:t>
            </w:r>
            <w:r>
              <w:rPr>
                <w:color w:val="auto"/>
                <w:spacing w:val="8"/>
                <w:lang w:eastAsia="zh-CN"/>
              </w:rPr>
              <w:t>尿系感染发生率</w:t>
            </w:r>
          </w:p>
        </w:tc>
        <w:tc>
          <w:tcPr>
            <w:tcW w:w="1814" w:type="dxa"/>
          </w:tcPr>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30" w:right="67" w:hanging="13"/>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单位时间内住院期间发生泌尿</w:t>
            </w:r>
            <w:r>
              <w:rPr>
                <w:color w:val="auto"/>
                <w:spacing w:val="8"/>
                <w:lang w:eastAsia="zh-CN"/>
              </w:rPr>
              <w:t>系感染的脊髓损伤患者数</w:t>
            </w:r>
            <w:r>
              <w:rPr>
                <w:rFonts w:ascii="Times New Roman" w:hAnsi="Times New Roman" w:eastAsia="Times New Roman" w:cs="Times New Roman"/>
                <w:color w:val="auto"/>
                <w:spacing w:val="8"/>
                <w:lang w:eastAsia="zh-CN"/>
              </w:rPr>
              <w:t>/</w:t>
            </w:r>
            <w:r>
              <w:rPr>
                <w:color w:val="auto"/>
                <w:spacing w:val="8"/>
                <w:lang w:eastAsia="zh-CN"/>
              </w:rPr>
              <w:t>同期住</w:t>
            </w:r>
            <w:r>
              <w:rPr>
                <w:color w:val="auto"/>
                <w:spacing w:val="5"/>
                <w:lang w:eastAsia="zh-CN"/>
              </w:rPr>
              <w:t>院脊髓损伤患者总数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33" w:hanging="6"/>
              <w:rPr>
                <w:color w:val="auto"/>
                <w:lang w:eastAsia="zh-CN"/>
              </w:rPr>
            </w:pPr>
            <w:r>
              <w:rPr>
                <w:color w:val="auto"/>
                <w:spacing w:val="3"/>
                <w:lang w:eastAsia="zh-CN"/>
              </w:rPr>
              <w:t>单位时间内，发生泌尿系感染的住院脊髓损伤</w:t>
            </w:r>
            <w:r>
              <w:rPr>
                <w:color w:val="auto"/>
                <w:spacing w:val="5"/>
                <w:lang w:eastAsia="zh-CN"/>
              </w:rPr>
              <w:t>患者数占同期住院脊髓损伤患者总数的比例。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269" w:type="dxa"/>
            <w:vMerge w:val="continue"/>
            <w:tcBorders>
              <w:top w:val="nil"/>
              <w:bottom w:val="nil"/>
            </w:tcBorders>
          </w:tcPr>
          <w:p>
            <w:pPr>
              <w:spacing w:line="240" w:lineRule="exact"/>
              <w:rPr>
                <w:color w:val="auto"/>
              </w:rPr>
            </w:pPr>
          </w:p>
        </w:tc>
        <w:tc>
          <w:tcPr>
            <w:tcW w:w="1956" w:type="dxa"/>
          </w:tcPr>
          <w:p>
            <w:pPr>
              <w:pStyle w:val="8"/>
              <w:spacing w:before="0" w:line="240" w:lineRule="exact"/>
              <w:ind w:left="19" w:right="13" w:hanging="4"/>
              <w:jc w:val="both"/>
              <w:rPr>
                <w:color w:val="auto"/>
                <w:lang w:eastAsia="zh-CN"/>
              </w:rPr>
            </w:pPr>
            <w:r>
              <w:rPr>
                <w:color w:val="auto"/>
                <w:spacing w:val="2"/>
                <w:lang w:eastAsia="zh-CN"/>
              </w:rPr>
              <w:t>（十）脊髓损伤神经源</w:t>
            </w:r>
            <w:r>
              <w:rPr>
                <w:color w:val="auto"/>
                <w:spacing w:val="23"/>
                <w:lang w:eastAsia="zh-CN"/>
              </w:rPr>
              <w:t>性膀胱患者间歇性导</w:t>
            </w:r>
            <w:r>
              <w:rPr>
                <w:color w:val="auto"/>
                <w:spacing w:val="7"/>
                <w:lang w:eastAsia="zh-CN"/>
              </w:rPr>
              <w:t>尿实施率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5" w:right="67"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单位时间内住院脊髓损伤神经源性膀胱患者中进行间歇性导尿</w:t>
            </w:r>
            <w:r>
              <w:rPr>
                <w:color w:val="auto"/>
                <w:spacing w:val="8"/>
                <w:lang w:eastAsia="zh-CN"/>
              </w:rPr>
              <w:t>的人数</w:t>
            </w:r>
            <w:r>
              <w:rPr>
                <w:rFonts w:ascii="Times New Roman" w:hAnsi="Times New Roman" w:eastAsia="Times New Roman" w:cs="Times New Roman"/>
                <w:color w:val="auto"/>
                <w:spacing w:val="8"/>
                <w:lang w:eastAsia="zh-CN"/>
              </w:rPr>
              <w:t>/</w:t>
            </w:r>
            <w:r>
              <w:rPr>
                <w:color w:val="auto"/>
                <w:spacing w:val="8"/>
                <w:lang w:eastAsia="zh-CN"/>
              </w:rPr>
              <w:t>同期住院脊髓损伤神经源</w:t>
            </w:r>
            <w:r>
              <w:rPr>
                <w:color w:val="auto"/>
                <w:spacing w:val="5"/>
                <w:lang w:eastAsia="zh-CN"/>
              </w:rPr>
              <w:t>性膀胱患者总数</w:t>
            </w:r>
            <w:r>
              <w:rPr>
                <w:rFonts w:ascii="Times New Roman" w:hAnsi="Times New Roman" w:eastAsia="Times New Roman" w:cs="Times New Roman"/>
                <w:color w:val="auto"/>
                <w:spacing w:val="5"/>
                <w:lang w:eastAsia="zh-CN"/>
              </w:rPr>
              <w:t>×100%</w:t>
            </w:r>
          </w:p>
        </w:tc>
        <w:tc>
          <w:tcPr>
            <w:tcW w:w="3944" w:type="dxa"/>
          </w:tcPr>
          <w:p>
            <w:pPr>
              <w:pStyle w:val="8"/>
              <w:spacing w:before="0" w:line="240" w:lineRule="exact"/>
              <w:ind w:left="26" w:right="10"/>
              <w:jc w:val="both"/>
              <w:rPr>
                <w:color w:val="auto"/>
                <w:lang w:eastAsia="zh-CN"/>
              </w:rPr>
            </w:pPr>
            <w:r>
              <w:rPr>
                <w:color w:val="auto"/>
                <w:spacing w:val="4"/>
                <w:lang w:eastAsia="zh-CN"/>
              </w:rPr>
              <w:t>单位时间内，住院脊髓损伤神经源性膀胱患者</w:t>
            </w:r>
            <w:r>
              <w:rPr>
                <w:color w:val="auto"/>
                <w:spacing w:val="15"/>
                <w:lang w:eastAsia="zh-CN"/>
              </w:rPr>
              <w:t>中进行间歇性导尿的人数占同期住院脊髓损</w:t>
            </w:r>
            <w:r>
              <w:rPr>
                <w:color w:val="auto"/>
                <w:spacing w:val="8"/>
                <w:lang w:eastAsia="zh-CN"/>
              </w:rPr>
              <w:t>伤神经源性膀胱患者总数的比例。</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269" w:type="dxa"/>
            <w:vMerge w:val="continue"/>
            <w:tcBorders>
              <w:top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18" w:right="13" w:hanging="3"/>
              <w:rPr>
                <w:color w:val="auto"/>
                <w:lang w:eastAsia="zh-CN"/>
              </w:rPr>
            </w:pPr>
            <w:r>
              <w:rPr>
                <w:color w:val="auto"/>
                <w:spacing w:val="2"/>
                <w:lang w:eastAsia="zh-CN"/>
              </w:rPr>
              <w:t>（十一）住院患者静脉</w:t>
            </w:r>
            <w:r>
              <w:rPr>
                <w:color w:val="auto"/>
                <w:spacing w:val="8"/>
                <w:lang w:eastAsia="zh-CN"/>
              </w:rPr>
              <w:t>血栓栓塞症发生率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pStyle w:val="8"/>
              <w:spacing w:before="0" w:line="240" w:lineRule="exact"/>
              <w:ind w:left="21" w:right="67" w:hanging="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单位时间内发生静脉血栓栓塞</w:t>
            </w:r>
            <w:r>
              <w:rPr>
                <w:color w:val="auto"/>
                <w:spacing w:val="8"/>
                <w:lang w:eastAsia="zh-CN"/>
              </w:rPr>
              <w:t>症的住院患者数</w:t>
            </w:r>
            <w:r>
              <w:rPr>
                <w:rFonts w:ascii="Times New Roman" w:hAnsi="Times New Roman" w:eastAsia="Times New Roman" w:cs="Times New Roman"/>
                <w:color w:val="auto"/>
                <w:spacing w:val="8"/>
                <w:lang w:eastAsia="zh-CN"/>
              </w:rPr>
              <w:t>/</w:t>
            </w:r>
            <w:r>
              <w:rPr>
                <w:color w:val="auto"/>
                <w:spacing w:val="8"/>
                <w:lang w:eastAsia="zh-CN"/>
              </w:rPr>
              <w:t>同期住院患者总</w:t>
            </w:r>
            <w:r>
              <w:rPr>
                <w:color w:val="auto"/>
                <w:lang w:eastAsia="zh-CN"/>
              </w:rPr>
              <w:t>数</w:t>
            </w:r>
            <w:r>
              <w:rPr>
                <w:rFonts w:ascii="Times New Roman" w:hAnsi="Times New Roman" w:eastAsia="Times New Roman" w:cs="Times New Roman"/>
                <w:color w:val="auto"/>
                <w:lang w:eastAsia="zh-CN"/>
              </w:rPr>
              <w:t>×100%</w:t>
            </w:r>
          </w:p>
        </w:tc>
        <w:tc>
          <w:tcPr>
            <w:tcW w:w="3944" w:type="dxa"/>
          </w:tcPr>
          <w:p>
            <w:pPr>
              <w:pStyle w:val="8"/>
              <w:spacing w:before="0" w:line="240" w:lineRule="exact"/>
              <w:ind w:left="27" w:right="12"/>
              <w:rPr>
                <w:color w:val="auto"/>
                <w:lang w:eastAsia="zh-CN"/>
              </w:rPr>
            </w:pPr>
            <w:r>
              <w:rPr>
                <w:color w:val="auto"/>
                <w:spacing w:val="4"/>
                <w:lang w:eastAsia="zh-CN"/>
              </w:rPr>
              <w:t>单位时间内，发生静脉血栓栓塞症的住院患者</w:t>
            </w:r>
            <w:r>
              <w:rPr>
                <w:color w:val="auto"/>
                <w:spacing w:val="8"/>
                <w:lang w:eastAsia="zh-CN"/>
              </w:rPr>
              <w:t>数占同期住院患者总数的比例。</w:t>
            </w:r>
          </w:p>
          <w:p>
            <w:pPr>
              <w:pStyle w:val="8"/>
              <w:spacing w:before="0" w:line="240" w:lineRule="exact"/>
              <w:ind w:left="22" w:right="12"/>
              <w:rPr>
                <w:color w:val="auto"/>
                <w:lang w:eastAsia="zh-CN"/>
              </w:rPr>
            </w:pPr>
            <w:r>
              <w:rPr>
                <w:color w:val="auto"/>
                <w:spacing w:val="5"/>
                <w:lang w:eastAsia="zh-CN"/>
              </w:rPr>
              <w:t>说明：静脉血栓栓塞症包括深静脉血栓形成和</w:t>
            </w:r>
            <w:r>
              <w:rPr>
                <w:color w:val="auto"/>
                <w:spacing w:val="8"/>
                <w:lang w:eastAsia="zh-CN"/>
              </w:rPr>
              <w:t>肺血栓栓塞症，除外导管置管相关血栓。</w:t>
            </w:r>
          </w:p>
        </w:tc>
        <w:tc>
          <w:tcPr>
            <w:tcW w:w="1177" w:type="dxa"/>
          </w:tcPr>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269" w:type="dxa"/>
            <w:vMerge w:val="restart"/>
            <w:tcBorders>
              <w:bottom w:val="nil"/>
            </w:tcBorders>
          </w:tcPr>
          <w:p>
            <w:pPr>
              <w:pStyle w:val="8"/>
              <w:spacing w:before="0" w:line="240" w:lineRule="exact"/>
              <w:ind w:left="25" w:right="15" w:firstLine="6"/>
              <w:jc w:val="both"/>
              <w:rPr>
                <w:color w:val="auto"/>
                <w:lang w:eastAsia="zh-CN"/>
              </w:rPr>
            </w:pPr>
            <w:r>
              <w:rPr>
                <w:color w:val="auto"/>
                <w:spacing w:val="12"/>
                <w:lang w:eastAsia="zh-CN"/>
              </w:rPr>
              <w:t>十、临床营养</w:t>
            </w:r>
            <w:r>
              <w:rPr>
                <w:color w:val="auto"/>
                <w:spacing w:val="13"/>
                <w:lang w:eastAsia="zh-CN"/>
              </w:rPr>
              <w:t>专业医疗质量</w:t>
            </w:r>
            <w:r>
              <w:rPr>
                <w:color w:val="auto"/>
                <w:spacing w:val="7"/>
                <w:lang w:eastAsia="zh-CN"/>
              </w:rPr>
              <w:t>控制指标</w:t>
            </w:r>
          </w:p>
        </w:tc>
        <w:tc>
          <w:tcPr>
            <w:tcW w:w="1956"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9" w:right="13" w:hanging="4"/>
              <w:rPr>
                <w:color w:val="auto"/>
                <w:lang w:eastAsia="zh-CN"/>
              </w:rPr>
            </w:pPr>
            <w:r>
              <w:rPr>
                <w:color w:val="auto"/>
                <w:spacing w:val="-3"/>
                <w:lang w:eastAsia="zh-CN"/>
              </w:rPr>
              <w:t>（一）营养科（室）医</w:t>
            </w:r>
            <w:r>
              <w:rPr>
                <w:color w:val="auto"/>
                <w:spacing w:val="4"/>
                <w:lang w:eastAsia="zh-CN"/>
              </w:rPr>
              <w:t>床比</w:t>
            </w:r>
          </w:p>
        </w:tc>
        <w:tc>
          <w:tcPr>
            <w:tcW w:w="1814"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65"/>
              <w:rPr>
                <w:color w:val="auto"/>
              </w:rPr>
            </w:pPr>
            <w:r>
              <w:rPr>
                <w:color w:val="auto"/>
                <w:spacing w:val="-1"/>
              </w:rPr>
              <w:t>比值（</w:t>
            </w:r>
            <w:r>
              <w:rPr>
                <w:rFonts w:ascii="Times New Roman" w:hAnsi="Times New Roman" w:eastAsia="Times New Roman" w:cs="Times New Roman"/>
                <w:color w:val="auto"/>
                <w:spacing w:val="-1"/>
              </w:rPr>
              <w:t>1</w:t>
            </w:r>
            <w:r>
              <w:rPr>
                <w:color w:val="auto"/>
                <w:spacing w:val="-1"/>
              </w:rPr>
              <w:t>：</w:t>
            </w:r>
          </w:p>
          <w:p>
            <w:pPr>
              <w:pStyle w:val="8"/>
              <w:spacing w:before="0" w:line="240" w:lineRule="exact"/>
              <w:ind w:left="307"/>
              <w:rPr>
                <w:color w:val="auto"/>
              </w:rPr>
            </w:pPr>
            <w:r>
              <w:rPr>
                <w:rFonts w:ascii="Times New Roman" w:hAnsi="Times New Roman" w:eastAsia="Times New Roman" w:cs="Times New Roman"/>
                <w:color w:val="auto"/>
                <w:spacing w:val="4"/>
              </w:rPr>
              <w:t>X</w:t>
            </w:r>
            <w:r>
              <w:rPr>
                <w:color w:val="auto"/>
                <w:spacing w:val="4"/>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13" w:right="14" w:firstLine="3"/>
              <w:rPr>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营养科（室）专业技术人员总数</w:t>
            </w:r>
            <w:r>
              <w:rPr>
                <w:rFonts w:ascii="Times New Roman" w:hAnsi="Times New Roman" w:eastAsia="Times New Roman" w:cs="Times New Roman"/>
                <w:color w:val="auto"/>
                <w:spacing w:val="9"/>
                <w:lang w:eastAsia="zh-CN"/>
              </w:rPr>
              <w:t>/</w:t>
            </w:r>
            <w:r>
              <w:rPr>
                <w:color w:val="auto"/>
                <w:spacing w:val="9"/>
                <w:lang w:eastAsia="zh-CN"/>
              </w:rPr>
              <w:t>同期医疗机构实际开放床位数</w:t>
            </w:r>
          </w:p>
        </w:tc>
        <w:tc>
          <w:tcPr>
            <w:tcW w:w="3944" w:type="dxa"/>
          </w:tcPr>
          <w:p>
            <w:pPr>
              <w:pStyle w:val="8"/>
              <w:spacing w:before="0" w:line="240" w:lineRule="exact"/>
              <w:ind w:left="22" w:right="10" w:firstLine="13"/>
              <w:rPr>
                <w:color w:val="auto"/>
                <w:lang w:eastAsia="zh-CN"/>
              </w:rPr>
            </w:pPr>
            <w:r>
              <w:rPr>
                <w:color w:val="auto"/>
                <w:spacing w:val="4"/>
                <w:lang w:eastAsia="zh-CN"/>
              </w:rPr>
              <w:t>营养科（室）专业技术人员总数与同期医疗机</w:t>
            </w:r>
            <w:r>
              <w:rPr>
                <w:color w:val="auto"/>
                <w:spacing w:val="8"/>
                <w:lang w:eastAsia="zh-CN"/>
              </w:rPr>
              <w:t>构实际开放床位数之比。</w:t>
            </w:r>
          </w:p>
          <w:p>
            <w:pPr>
              <w:pStyle w:val="8"/>
              <w:spacing w:before="0" w:line="240" w:lineRule="exact"/>
              <w:ind w:left="23" w:hanging="1"/>
              <w:jc w:val="both"/>
              <w:rPr>
                <w:color w:val="auto"/>
                <w:lang w:eastAsia="zh-CN"/>
              </w:rPr>
            </w:pPr>
            <w:r>
              <w:rPr>
                <w:color w:val="auto"/>
                <w:spacing w:val="4"/>
                <w:lang w:eastAsia="zh-CN"/>
              </w:rPr>
              <w:t>说明：营养科（室）专业技术人员指取得相关</w:t>
            </w:r>
            <w:r>
              <w:rPr>
                <w:color w:val="auto"/>
                <w:spacing w:val="5"/>
                <w:lang w:eastAsia="zh-CN"/>
              </w:rPr>
              <w:t>专业医师、护士、技师等相关专业技术资格，</w:t>
            </w:r>
            <w:r>
              <w:rPr>
                <w:color w:val="auto"/>
                <w:spacing w:val="14"/>
                <w:lang w:eastAsia="zh-CN"/>
              </w:rPr>
              <w:t>在本医疗机构注册并从事临床营养工作的营</w:t>
            </w:r>
            <w:r>
              <w:rPr>
                <w:color w:val="auto"/>
                <w:spacing w:val="6"/>
                <w:lang w:eastAsia="zh-CN"/>
              </w:rPr>
              <w:t>养科在职人员。</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269" w:type="dxa"/>
            <w:vMerge w:val="continue"/>
            <w:tcBorders>
              <w:top w:val="nil"/>
              <w:bottom w:val="nil"/>
            </w:tcBorders>
          </w:tcPr>
          <w:p>
            <w:pPr>
              <w:spacing w:line="240" w:lineRule="exact"/>
              <w:rPr>
                <w:color w:val="auto"/>
              </w:rPr>
            </w:pPr>
          </w:p>
        </w:tc>
        <w:tc>
          <w:tcPr>
            <w:tcW w:w="1956" w:type="dxa"/>
          </w:tcPr>
          <w:p>
            <w:pPr>
              <w:spacing w:line="240" w:lineRule="exact"/>
              <w:rPr>
                <w:color w:val="auto"/>
                <w:lang w:eastAsia="zh-CN"/>
              </w:rPr>
            </w:pPr>
          </w:p>
          <w:p>
            <w:pPr>
              <w:pStyle w:val="8"/>
              <w:spacing w:before="0" w:line="240" w:lineRule="exact"/>
              <w:ind w:left="33" w:right="13" w:hanging="18"/>
              <w:rPr>
                <w:color w:val="auto"/>
                <w:lang w:eastAsia="zh-CN"/>
              </w:rPr>
            </w:pPr>
            <w:r>
              <w:rPr>
                <w:color w:val="auto"/>
                <w:spacing w:val="-3"/>
                <w:lang w:eastAsia="zh-CN"/>
              </w:rPr>
              <w:t>（二）住院患者营养风</w:t>
            </w:r>
            <w:r>
              <w:rPr>
                <w:color w:val="auto"/>
                <w:spacing w:val="3"/>
                <w:lang w:eastAsia="zh-CN"/>
              </w:rPr>
              <w:t>险筛查率</w:t>
            </w:r>
          </w:p>
        </w:tc>
        <w:tc>
          <w:tcPr>
            <w:tcW w:w="1814" w:type="dxa"/>
          </w:tcPr>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pStyle w:val="8"/>
              <w:spacing w:before="0" w:line="240" w:lineRule="exact"/>
              <w:ind w:left="41" w:right="152" w:hanging="24"/>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8"/>
                <w:lang w:eastAsia="zh-CN"/>
              </w:rPr>
              <w:t>=</w:t>
            </w:r>
            <w:r>
              <w:rPr>
                <w:color w:val="auto"/>
                <w:spacing w:val="8"/>
                <w:lang w:eastAsia="zh-CN"/>
              </w:rPr>
              <w:t>完成营养风险筛查住院患者数</w:t>
            </w:r>
            <w:r>
              <w:rPr>
                <w:rFonts w:ascii="Times New Roman" w:hAnsi="Times New Roman" w:eastAsia="Times New Roman" w:cs="Times New Roman"/>
                <w:color w:val="auto"/>
                <w:spacing w:val="8"/>
                <w:lang w:eastAsia="zh-CN"/>
              </w:rPr>
              <w:t>/</w:t>
            </w:r>
            <w:r>
              <w:rPr>
                <w:color w:val="auto"/>
                <w:spacing w:val="4"/>
                <w:lang w:eastAsia="zh-CN"/>
              </w:rPr>
              <w:t>同期住院患者总数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23" w:right="10" w:firstLine="9"/>
              <w:rPr>
                <w:color w:val="auto"/>
                <w:lang w:eastAsia="zh-CN"/>
              </w:rPr>
            </w:pPr>
            <w:r>
              <w:rPr>
                <w:color w:val="auto"/>
                <w:spacing w:val="15"/>
                <w:lang w:eastAsia="zh-CN"/>
              </w:rPr>
              <w:t>完成营养风险筛查住院患者数占同期住院患</w:t>
            </w:r>
            <w:r>
              <w:rPr>
                <w:color w:val="auto"/>
                <w:spacing w:val="7"/>
                <w:lang w:eastAsia="zh-CN"/>
              </w:rPr>
              <w:t>者总数的比例。</w:t>
            </w:r>
          </w:p>
          <w:p>
            <w:pPr>
              <w:pStyle w:val="8"/>
              <w:spacing w:before="0" w:line="240" w:lineRule="exact"/>
              <w:ind w:left="23" w:right="10" w:hanging="1"/>
              <w:jc w:val="both"/>
              <w:rPr>
                <w:color w:val="auto"/>
                <w:lang w:eastAsia="zh-CN"/>
              </w:rPr>
            </w:pPr>
            <w:r>
              <w:rPr>
                <w:color w:val="auto"/>
                <w:spacing w:val="5"/>
                <w:lang w:eastAsia="zh-CN"/>
              </w:rPr>
              <w:t>说明：营养风险筛查指由受过相关培训的医务人员采用经验证的营养风险筛查工具，进行营</w:t>
            </w:r>
            <w:r>
              <w:rPr>
                <w:color w:val="auto"/>
                <w:spacing w:val="6"/>
                <w:lang w:eastAsia="zh-CN"/>
              </w:rPr>
              <w:t>养风险筛查。</w:t>
            </w:r>
          </w:p>
        </w:tc>
        <w:tc>
          <w:tcPr>
            <w:tcW w:w="1177"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269" w:type="dxa"/>
            <w:vMerge w:val="continue"/>
            <w:tcBorders>
              <w:top w:val="nil"/>
            </w:tcBorders>
          </w:tcPr>
          <w:p>
            <w:pPr>
              <w:spacing w:line="240" w:lineRule="exact"/>
              <w:rPr>
                <w:color w:val="auto"/>
              </w:rPr>
            </w:pPr>
          </w:p>
        </w:tc>
        <w:tc>
          <w:tcPr>
            <w:tcW w:w="1956"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2" w:right="13" w:hanging="17"/>
              <w:rPr>
                <w:color w:val="auto"/>
                <w:lang w:eastAsia="zh-CN"/>
              </w:rPr>
            </w:pPr>
            <w:r>
              <w:rPr>
                <w:color w:val="auto"/>
                <w:spacing w:val="2"/>
                <w:lang w:eastAsia="zh-CN"/>
              </w:rPr>
              <w:t>（三）存在营养风险住</w:t>
            </w:r>
            <w:r>
              <w:rPr>
                <w:color w:val="auto"/>
                <w:spacing w:val="7"/>
                <w:lang w:eastAsia="zh-CN"/>
              </w:rPr>
              <w:t>院患者营养治疗率</w:t>
            </w:r>
          </w:p>
        </w:tc>
        <w:tc>
          <w:tcPr>
            <w:tcW w:w="1814"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7" w:right="12" w:hanging="7"/>
              <w:rPr>
                <w:color w:val="auto"/>
                <w:lang w:eastAsia="zh-CN"/>
              </w:rPr>
            </w:pPr>
            <w:r>
              <w:rPr>
                <w:color w:val="auto"/>
                <w:spacing w:val="7"/>
                <w:lang w:eastAsia="zh-CN"/>
              </w:rPr>
              <w:t>定量指标，连续监测类指标，必填指标</w:t>
            </w:r>
          </w:p>
        </w:tc>
        <w:tc>
          <w:tcPr>
            <w:tcW w:w="960"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197" w:right="178" w:hanging="4"/>
              <w:rPr>
                <w:color w:val="auto"/>
              </w:rPr>
            </w:pPr>
            <w:r>
              <w:rPr>
                <w:color w:val="auto"/>
                <w:spacing w:val="4"/>
              </w:rPr>
              <w:t>百分比</w:t>
            </w:r>
            <w:r>
              <w:rPr>
                <w:color w:val="auto"/>
                <w:spacing w:val="6"/>
              </w:rPr>
              <w:t>（</w:t>
            </w:r>
            <w:r>
              <w:rPr>
                <w:rFonts w:ascii="Times New Roman" w:hAnsi="Times New Roman" w:eastAsia="Times New Roman" w:cs="Times New Roman"/>
                <w:color w:val="auto"/>
                <w:spacing w:val="6"/>
              </w:rPr>
              <w:t>%</w:t>
            </w:r>
            <w:r>
              <w:rPr>
                <w:color w:val="auto"/>
                <w:spacing w:val="6"/>
              </w:rPr>
              <w:t>）</w:t>
            </w:r>
          </w:p>
        </w:tc>
        <w:tc>
          <w:tcPr>
            <w:tcW w:w="2939"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5" w:right="67" w:hanging="8"/>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9"/>
                <w:lang w:eastAsia="zh-CN"/>
              </w:rPr>
              <w:t>=</w:t>
            </w:r>
            <w:r>
              <w:rPr>
                <w:color w:val="auto"/>
                <w:spacing w:val="9"/>
                <w:lang w:eastAsia="zh-CN"/>
              </w:rPr>
              <w:t>存在营养风险并接受营养治疗</w:t>
            </w:r>
            <w:r>
              <w:rPr>
                <w:color w:val="auto"/>
                <w:spacing w:val="8"/>
                <w:lang w:eastAsia="zh-CN"/>
              </w:rPr>
              <w:t>的住院患者数</w:t>
            </w:r>
            <w:r>
              <w:rPr>
                <w:rFonts w:ascii="Times New Roman" w:hAnsi="Times New Roman" w:eastAsia="Times New Roman" w:cs="Times New Roman"/>
                <w:color w:val="auto"/>
                <w:spacing w:val="8"/>
                <w:lang w:eastAsia="zh-CN"/>
              </w:rPr>
              <w:t>/</w:t>
            </w:r>
            <w:r>
              <w:rPr>
                <w:color w:val="auto"/>
                <w:spacing w:val="8"/>
                <w:lang w:eastAsia="zh-CN"/>
              </w:rPr>
              <w:t>同期存在营养风险</w:t>
            </w:r>
            <w:r>
              <w:rPr>
                <w:color w:val="auto"/>
                <w:spacing w:val="4"/>
                <w:lang w:eastAsia="zh-CN"/>
              </w:rPr>
              <w:t>住院患者总数</w:t>
            </w:r>
            <w:r>
              <w:rPr>
                <w:rFonts w:ascii="Times New Roman" w:hAnsi="Times New Roman" w:eastAsia="Times New Roman" w:cs="Times New Roman"/>
                <w:color w:val="auto"/>
                <w:spacing w:val="4"/>
                <w:lang w:eastAsia="zh-CN"/>
              </w:rPr>
              <w:t>×100%</w:t>
            </w:r>
          </w:p>
        </w:tc>
        <w:tc>
          <w:tcPr>
            <w:tcW w:w="3944" w:type="dxa"/>
          </w:tcPr>
          <w:p>
            <w:pPr>
              <w:pStyle w:val="8"/>
              <w:spacing w:before="0" w:line="240" w:lineRule="exact"/>
              <w:ind w:left="22" w:right="10" w:firstLine="4"/>
              <w:jc w:val="both"/>
              <w:rPr>
                <w:color w:val="auto"/>
                <w:lang w:eastAsia="zh-CN"/>
              </w:rPr>
            </w:pPr>
            <w:r>
              <w:rPr>
                <w:color w:val="auto"/>
                <w:spacing w:val="5"/>
                <w:lang w:eastAsia="zh-CN"/>
              </w:rPr>
              <w:t>经营养风险筛查，存在营养风险并接受营养治</w:t>
            </w:r>
            <w:r>
              <w:rPr>
                <w:color w:val="auto"/>
                <w:spacing w:val="15"/>
                <w:lang w:eastAsia="zh-CN"/>
              </w:rPr>
              <w:t>疗的住院患者数占同期存在营养风险住院患</w:t>
            </w:r>
            <w:r>
              <w:rPr>
                <w:color w:val="auto"/>
                <w:spacing w:val="7"/>
                <w:lang w:eastAsia="zh-CN"/>
              </w:rPr>
              <w:t>者总数的比例。</w:t>
            </w:r>
          </w:p>
          <w:p>
            <w:pPr>
              <w:pStyle w:val="8"/>
              <w:spacing w:before="0" w:line="240" w:lineRule="exact"/>
              <w:ind w:left="23" w:right="12" w:hanging="1"/>
              <w:rPr>
                <w:color w:val="auto"/>
                <w:lang w:eastAsia="zh-CN"/>
              </w:rPr>
            </w:pPr>
            <w:r>
              <w:rPr>
                <w:color w:val="auto"/>
                <w:spacing w:val="12"/>
                <w:lang w:eastAsia="zh-CN"/>
              </w:rPr>
              <w:t>说明</w:t>
            </w:r>
            <w:r>
              <w:rPr>
                <w:color w:val="auto"/>
                <w:spacing w:val="-10"/>
                <w:lang w:eastAsia="zh-CN"/>
              </w:rPr>
              <w:t>：（</w:t>
            </w:r>
            <w:r>
              <w:rPr>
                <w:rFonts w:ascii="Times New Roman" w:hAnsi="Times New Roman" w:eastAsia="Times New Roman" w:cs="Times New Roman"/>
                <w:color w:val="auto"/>
                <w:spacing w:val="12"/>
                <w:lang w:eastAsia="zh-CN"/>
              </w:rPr>
              <w:t>1</w:t>
            </w:r>
            <w:r>
              <w:rPr>
                <w:color w:val="auto"/>
                <w:spacing w:val="12"/>
                <w:lang w:eastAsia="zh-CN"/>
              </w:rPr>
              <w:t>）存在营养风险指使用经验证的营</w:t>
            </w:r>
            <w:r>
              <w:rPr>
                <w:color w:val="auto"/>
                <w:spacing w:val="8"/>
                <w:lang w:eastAsia="zh-CN"/>
              </w:rPr>
              <w:t>养风险筛查工具评估为营养风险阳性。</w:t>
            </w:r>
          </w:p>
          <w:p>
            <w:pPr>
              <w:pStyle w:val="8"/>
              <w:spacing w:before="0" w:line="240" w:lineRule="exact"/>
              <w:ind w:left="20" w:right="10" w:hanging="1"/>
              <w:jc w:val="both"/>
              <w:rPr>
                <w:color w:val="auto"/>
                <w:lang w:eastAsia="zh-CN"/>
              </w:rPr>
            </w:pP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）营养治疗是指通过膳食、肠内或肠外途</w:t>
            </w:r>
            <w:r>
              <w:rPr>
                <w:color w:val="auto"/>
                <w:spacing w:val="5"/>
                <w:lang w:eastAsia="zh-CN"/>
              </w:rPr>
              <w:t>径为患者提供能量和营养素，以达到调整机体代谢、改善营养状况、增强抵抗力、促进康复</w:t>
            </w:r>
            <w:r>
              <w:rPr>
                <w:color w:val="auto"/>
                <w:spacing w:val="7"/>
                <w:lang w:eastAsia="zh-CN"/>
              </w:rPr>
              <w:t>和痊愈等目的。</w:t>
            </w:r>
          </w:p>
        </w:tc>
        <w:tc>
          <w:tcPr>
            <w:tcW w:w="1177" w:type="dxa"/>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00"/>
              <w:rPr>
                <w:color w:val="auto"/>
              </w:rPr>
            </w:pPr>
            <w:r>
              <w:rPr>
                <w:color w:val="auto"/>
                <w:spacing w:val="6"/>
              </w:rPr>
              <w:t>监测比较</w:t>
            </w:r>
          </w:p>
        </w:tc>
      </w:tr>
    </w:tbl>
    <w:p>
      <w:pPr>
        <w:spacing w:line="240" w:lineRule="exact"/>
        <w:rPr>
          <w:color w:val="auto"/>
          <w:sz w:val="19"/>
          <w:szCs w:val="19"/>
        </w:rPr>
        <w:sectPr>
          <w:footerReference r:id="rId55" w:type="default"/>
          <w:pgSz w:w="16839" w:h="11906"/>
          <w:pgMar w:top="1012" w:right="1262" w:bottom="1439" w:left="1511" w:header="0" w:footer="1277" w:gutter="0"/>
          <w:pgNumType w:fmt="numberInDash"/>
          <w:cols w:space="720" w:num="1"/>
        </w:sectPr>
      </w:pPr>
    </w:p>
    <w:p>
      <w:pPr>
        <w:tabs>
          <w:tab w:val="left" w:pos="6569"/>
        </w:tabs>
        <w:spacing w:line="354" w:lineRule="auto"/>
        <w:rPr>
          <w:rFonts w:eastAsia="宋体"/>
          <w:color w:val="auto"/>
          <w:lang w:eastAsia="zh-CN"/>
        </w:rPr>
      </w:pPr>
      <w:bookmarkStart w:id="3" w:name="bookmark10"/>
      <w:bookmarkEnd w:id="3"/>
      <w:bookmarkStart w:id="4" w:name="bookmark11"/>
      <w:bookmarkEnd w:id="4"/>
    </w:p>
    <w:p>
      <w:pPr>
        <w:spacing w:line="354" w:lineRule="auto"/>
        <w:rPr>
          <w:color w:val="auto"/>
        </w:rPr>
      </w:pPr>
    </w:p>
    <w:p>
      <w:pPr>
        <w:spacing w:before="140" w:line="220" w:lineRule="auto"/>
        <w:ind w:left="3394"/>
        <w:rPr>
          <w:rFonts w:ascii="宋体" w:hAnsi="宋体" w:eastAsia="宋体" w:cs="宋体"/>
          <w:color w:val="auto"/>
          <w:sz w:val="43"/>
          <w:szCs w:val="43"/>
          <w:lang w:eastAsia="zh-CN"/>
        </w:rPr>
      </w:pPr>
      <w:r>
        <w:rPr>
          <w:rFonts w:ascii="宋体" w:hAnsi="宋体" w:eastAsia="宋体" w:cs="宋体"/>
          <w:color w:val="auto"/>
          <w:spacing w:val="9"/>
          <w:sz w:val="43"/>
          <w:szCs w:val="43"/>
          <w:lang w:eastAsia="zh-CN"/>
        </w:rPr>
        <w:t>第四章住院重点疾病质量控制指标</w:t>
      </w:r>
    </w:p>
    <w:p>
      <w:pPr>
        <w:spacing w:line="308" w:lineRule="auto"/>
        <w:rPr>
          <w:color w:val="auto"/>
          <w:lang w:eastAsia="zh-CN"/>
        </w:rPr>
      </w:pPr>
    </w:p>
    <w:p>
      <w:pPr>
        <w:pStyle w:val="2"/>
        <w:spacing w:before="100" w:line="222" w:lineRule="auto"/>
        <w:ind w:left="41"/>
        <w:rPr>
          <w:color w:val="auto"/>
          <w:lang w:eastAsia="zh-CN"/>
        </w:rPr>
      </w:pPr>
      <w:r>
        <w:rPr>
          <w:color w:val="auto"/>
          <w:spacing w:val="4"/>
          <w:lang w:eastAsia="zh-CN"/>
        </w:rPr>
        <w:t>数据来源：</w:t>
      </w:r>
    </w:p>
    <w:p>
      <w:pPr>
        <w:pStyle w:val="2"/>
        <w:spacing w:before="186" w:line="560" w:lineRule="exact"/>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1"/>
          <w:position w:val="18"/>
          <w:lang w:eastAsia="zh-CN"/>
        </w:rPr>
        <w:t>（</w:t>
      </w:r>
      <w:r>
        <w:rPr>
          <w:rFonts w:hint="eastAsia" w:ascii="华文仿宋" w:hAnsi="华文仿宋" w:eastAsia="华文仿宋" w:cs="华文仿宋"/>
          <w:b/>
          <w:bCs/>
          <w:color w:val="auto"/>
          <w:spacing w:val="11"/>
          <w:position w:val="18"/>
          <w:lang w:eastAsia="zh-CN"/>
        </w:rPr>
        <w:t>1</w:t>
      </w:r>
      <w:r>
        <w:rPr>
          <w:rFonts w:hint="eastAsia" w:ascii="华文仿宋" w:hAnsi="华文仿宋" w:eastAsia="华文仿宋" w:cs="华文仿宋"/>
          <w:color w:val="auto"/>
          <w:spacing w:val="11"/>
          <w:position w:val="18"/>
          <w:lang w:eastAsia="zh-CN"/>
        </w:rPr>
        <w:t>）国家医疗质量管理与控制信息网（</w:t>
      </w:r>
      <w:r>
        <w:rPr>
          <w:rFonts w:hint="eastAsia" w:ascii="华文仿宋" w:hAnsi="华文仿宋" w:eastAsia="华文仿宋" w:cs="华文仿宋"/>
          <w:b/>
          <w:bCs/>
          <w:color w:val="auto"/>
          <w:position w:val="18"/>
          <w:lang w:eastAsia="zh-CN"/>
        </w:rPr>
        <w:t>NCIS</w:t>
      </w:r>
      <w:r>
        <w:rPr>
          <w:rFonts w:hint="eastAsia" w:ascii="华文仿宋" w:hAnsi="华文仿宋" w:eastAsia="华文仿宋" w:cs="华文仿宋"/>
          <w:color w:val="auto"/>
          <w:spacing w:val="11"/>
          <w:position w:val="18"/>
          <w:lang w:eastAsia="zh-CN"/>
        </w:rPr>
        <w:t>）</w:t>
      </w:r>
    </w:p>
    <w:p>
      <w:pPr>
        <w:pStyle w:val="2"/>
        <w:spacing w:before="1" w:line="216" w:lineRule="auto"/>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2"/>
          <w:lang w:eastAsia="zh-CN"/>
        </w:rPr>
        <w:t>（</w:t>
      </w:r>
      <w:r>
        <w:rPr>
          <w:rFonts w:hint="eastAsia" w:ascii="华文仿宋" w:hAnsi="华文仿宋" w:eastAsia="华文仿宋" w:cs="华文仿宋"/>
          <w:b/>
          <w:bCs/>
          <w:color w:val="auto"/>
          <w:spacing w:val="12"/>
          <w:lang w:eastAsia="zh-CN"/>
        </w:rPr>
        <w:t>2</w:t>
      </w:r>
      <w:r>
        <w:rPr>
          <w:rFonts w:hint="eastAsia" w:ascii="华文仿宋" w:hAnsi="华文仿宋" w:eastAsia="华文仿宋" w:cs="华文仿宋"/>
          <w:color w:val="auto"/>
          <w:spacing w:val="12"/>
          <w:lang w:eastAsia="zh-CN"/>
        </w:rPr>
        <w:t>）全国医院质量监测系统（</w:t>
      </w:r>
      <w:r>
        <w:rPr>
          <w:rFonts w:hint="eastAsia" w:ascii="华文仿宋" w:hAnsi="华文仿宋" w:eastAsia="华文仿宋" w:cs="华文仿宋"/>
          <w:b/>
          <w:bCs/>
          <w:color w:val="auto"/>
          <w:lang w:eastAsia="zh-CN"/>
        </w:rPr>
        <w:t>HQMS</w:t>
      </w:r>
      <w:r>
        <w:rPr>
          <w:rFonts w:hint="eastAsia" w:ascii="华文仿宋" w:hAnsi="华文仿宋" w:eastAsia="华文仿宋" w:cs="华文仿宋"/>
          <w:color w:val="auto"/>
          <w:spacing w:val="12"/>
          <w:lang w:eastAsia="zh-CN"/>
        </w:rPr>
        <w:t>）</w:t>
      </w:r>
    </w:p>
    <w:p>
      <w:pPr>
        <w:pStyle w:val="2"/>
        <w:spacing w:before="197" w:line="221" w:lineRule="auto"/>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lang w:eastAsia="zh-CN"/>
        </w:rPr>
        <w:t>（</w:t>
      </w:r>
      <w:r>
        <w:rPr>
          <w:rFonts w:hint="eastAsia" w:ascii="华文仿宋" w:hAnsi="华文仿宋" w:eastAsia="华文仿宋" w:cs="华文仿宋"/>
          <w:b/>
          <w:bCs/>
          <w:color w:val="auto"/>
          <w:spacing w:val="10"/>
          <w:lang w:eastAsia="zh-CN"/>
        </w:rPr>
        <w:t>3</w:t>
      </w:r>
      <w:r>
        <w:rPr>
          <w:rFonts w:hint="eastAsia" w:ascii="华文仿宋" w:hAnsi="华文仿宋" w:eastAsia="华文仿宋" w:cs="华文仿宋"/>
          <w:color w:val="auto"/>
          <w:spacing w:val="10"/>
          <w:lang w:eastAsia="zh-CN"/>
        </w:rPr>
        <w:t>）国家单病种质量监测平台</w:t>
      </w:r>
    </w:p>
    <w:p>
      <w:pPr>
        <w:pStyle w:val="2"/>
        <w:spacing w:before="188" w:line="559" w:lineRule="exact"/>
        <w:ind w:left="665"/>
        <w:rPr>
          <w:rFonts w:hint="eastAsia" w:ascii="华文仿宋" w:hAnsi="华文仿宋" w:eastAsia="华文仿宋" w:cs="华文仿宋"/>
          <w:color w:val="auto"/>
          <w:lang w:eastAsia="zh-CN"/>
        </w:rPr>
      </w:pPr>
      <w:r>
        <w:rPr>
          <w:rFonts w:hint="eastAsia" w:ascii="华文仿宋" w:hAnsi="华文仿宋" w:eastAsia="华文仿宋" w:cs="华文仿宋"/>
          <w:color w:val="auto"/>
          <w:spacing w:val="10"/>
          <w:position w:val="18"/>
          <w:lang w:eastAsia="zh-CN"/>
        </w:rPr>
        <w:t>（</w:t>
      </w:r>
      <w:r>
        <w:rPr>
          <w:rFonts w:hint="eastAsia" w:ascii="华文仿宋" w:hAnsi="华文仿宋" w:eastAsia="华文仿宋" w:cs="华文仿宋"/>
          <w:b/>
          <w:bCs/>
          <w:color w:val="auto"/>
          <w:spacing w:val="10"/>
          <w:position w:val="18"/>
          <w:lang w:eastAsia="zh-CN"/>
        </w:rPr>
        <w:t>4</w:t>
      </w:r>
      <w:r>
        <w:rPr>
          <w:rFonts w:hint="eastAsia" w:ascii="华文仿宋" w:hAnsi="华文仿宋" w:eastAsia="华文仿宋" w:cs="华文仿宋"/>
          <w:color w:val="auto"/>
          <w:spacing w:val="10"/>
          <w:position w:val="18"/>
          <w:lang w:eastAsia="zh-CN"/>
        </w:rPr>
        <w:t>）广东省卫生健康统计信息网络直报系统</w:t>
      </w:r>
    </w:p>
    <w:p>
      <w:pPr>
        <w:pStyle w:val="2"/>
        <w:spacing w:before="1" w:line="222" w:lineRule="auto"/>
        <w:ind w:left="665"/>
        <w:rPr>
          <w:rFonts w:hint="eastAsia" w:ascii="华文仿宋" w:hAnsi="华文仿宋" w:eastAsia="华文仿宋" w:cs="华文仿宋"/>
          <w:color w:val="auto"/>
        </w:rPr>
      </w:pPr>
      <w:r>
        <w:rPr>
          <w:rFonts w:hint="eastAsia" w:ascii="华文仿宋" w:hAnsi="华文仿宋" w:eastAsia="华文仿宋" w:cs="华文仿宋"/>
          <w:color w:val="auto"/>
        </w:rPr>
        <w:t>（</w:t>
      </w:r>
      <w:r>
        <w:rPr>
          <w:rFonts w:hint="eastAsia" w:ascii="华文仿宋" w:hAnsi="华文仿宋" w:eastAsia="华文仿宋" w:cs="华文仿宋"/>
          <w:b/>
          <w:bCs/>
          <w:color w:val="auto"/>
        </w:rPr>
        <w:t>5</w:t>
      </w:r>
      <w:r>
        <w:rPr>
          <w:rFonts w:hint="eastAsia" w:ascii="华文仿宋" w:hAnsi="华文仿宋" w:eastAsia="华文仿宋" w:cs="华文仿宋"/>
          <w:color w:val="auto"/>
        </w:rPr>
        <w:t>）医院填报</w:t>
      </w:r>
    </w:p>
    <w:p>
      <w:pPr>
        <w:spacing w:before="59"/>
        <w:rPr>
          <w:rFonts w:hint="eastAsia" w:ascii="华文仿宋" w:hAnsi="华文仿宋" w:eastAsia="华文仿宋" w:cs="华文仿宋"/>
          <w:color w:val="auto"/>
        </w:rPr>
      </w:pPr>
    </w:p>
    <w:p>
      <w:pPr>
        <w:spacing w:before="59"/>
        <w:rPr>
          <w:rFonts w:hint="eastAsia" w:ascii="华文仿宋" w:hAnsi="华文仿宋" w:eastAsia="华文仿宋" w:cs="华文仿宋"/>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2"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2"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2"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427" w:type="dxa"/>
            <w:vMerge w:val="restart"/>
            <w:tcBorders>
              <w:bottom w:val="nil"/>
            </w:tcBorders>
          </w:tcPr>
          <w:p>
            <w:pPr>
              <w:spacing w:line="477" w:lineRule="auto"/>
              <w:rPr>
                <w:color w:val="auto"/>
                <w:lang w:eastAsia="zh-CN"/>
              </w:rPr>
            </w:pPr>
          </w:p>
          <w:p>
            <w:pPr>
              <w:pStyle w:val="8"/>
              <w:spacing w:before="62" w:line="227" w:lineRule="auto"/>
              <w:ind w:left="35"/>
              <w:rPr>
                <w:color w:val="auto"/>
                <w:lang w:eastAsia="zh-CN"/>
              </w:rPr>
            </w:pPr>
            <w:r>
              <w:rPr>
                <w:color w:val="auto"/>
                <w:spacing w:val="6"/>
                <w:lang w:eastAsia="zh-CN"/>
              </w:rPr>
              <w:t>一、脑血管病</w:t>
            </w:r>
          </w:p>
          <w:p>
            <w:pPr>
              <w:pStyle w:val="8"/>
              <w:spacing w:before="6" w:line="232" w:lineRule="auto"/>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4"/>
                <w:lang w:eastAsia="zh-CN"/>
              </w:rPr>
              <w:t>I60.0</w:t>
            </w:r>
            <w:r>
              <w:rPr>
                <w:color w:val="auto"/>
                <w:spacing w:val="-4"/>
                <w:lang w:eastAsia="zh-CN"/>
              </w:rPr>
              <w:t>－</w:t>
            </w:r>
            <w:r>
              <w:rPr>
                <w:rFonts w:ascii="Times New Roman" w:hAnsi="Times New Roman" w:eastAsia="Times New Roman" w:cs="Times New Roman"/>
                <w:color w:val="auto"/>
                <w:spacing w:val="-4"/>
                <w:lang w:eastAsia="zh-CN"/>
              </w:rPr>
              <w:t>I69.8</w:t>
            </w:r>
            <w:r>
              <w:rPr>
                <w:color w:val="auto"/>
                <w:spacing w:val="-4"/>
                <w:lang w:eastAsia="zh-CN"/>
              </w:rPr>
              <w:t>的</w:t>
            </w:r>
            <w:r>
              <w:rPr>
                <w:color w:val="auto"/>
                <w:spacing w:val="41"/>
                <w:lang w:eastAsia="zh-CN"/>
              </w:rPr>
              <w:t>脑血管病及其后遗症的非产</w:t>
            </w:r>
            <w:r>
              <w:rPr>
                <w:color w:val="auto"/>
                <w:spacing w:val="8"/>
                <w:lang w:eastAsia="zh-CN"/>
              </w:rPr>
              <w:t>妇出院患者</w:t>
            </w:r>
          </w:p>
        </w:tc>
        <w:tc>
          <w:tcPr>
            <w:tcW w:w="2004" w:type="dxa"/>
          </w:tcPr>
          <w:p>
            <w:pPr>
              <w:pStyle w:val="8"/>
              <w:spacing w:before="187" w:line="230" w:lineRule="auto"/>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67" w:line="214"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82"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188" w:line="228" w:lineRule="auto"/>
              <w:ind w:left="19" w:right="13" w:firstLine="2"/>
              <w:rPr>
                <w:color w:val="auto"/>
                <w:lang w:eastAsia="zh-CN"/>
              </w:rPr>
            </w:pPr>
            <w:r>
              <w:rPr>
                <w:color w:val="auto"/>
                <w:spacing w:val="16"/>
                <w:lang w:eastAsia="zh-CN"/>
              </w:rPr>
              <w:t>年度内对脑血管病出院患者在治疗前使</w:t>
            </w:r>
            <w:r>
              <w:rPr>
                <w:color w:val="auto"/>
                <w:spacing w:val="9"/>
                <w:lang w:eastAsia="zh-CN"/>
              </w:rPr>
              <w:t>用合适的评定量表开展功能评估的统计</w:t>
            </w:r>
          </w:p>
        </w:tc>
        <w:tc>
          <w:tcPr>
            <w:tcW w:w="3176" w:type="dxa"/>
          </w:tcPr>
          <w:p>
            <w:pPr>
              <w:pStyle w:val="8"/>
              <w:spacing w:before="42" w:line="222" w:lineRule="auto"/>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年度内脑血管病出院患者治疗前完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pStyle w:val="8"/>
              <w:spacing w:before="279"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427" w:type="dxa"/>
            <w:vMerge w:val="continue"/>
            <w:tcBorders>
              <w:top w:val="nil"/>
              <w:bottom w:val="nil"/>
            </w:tcBorders>
          </w:tcPr>
          <w:p>
            <w:pPr>
              <w:rPr>
                <w:color w:val="auto"/>
              </w:rPr>
            </w:pPr>
          </w:p>
        </w:tc>
        <w:tc>
          <w:tcPr>
            <w:tcW w:w="2004" w:type="dxa"/>
          </w:tcPr>
          <w:p>
            <w:pPr>
              <w:spacing w:line="365" w:lineRule="auto"/>
              <w:rPr>
                <w:color w:val="auto"/>
                <w:lang w:eastAsia="zh-CN"/>
              </w:rPr>
            </w:pPr>
          </w:p>
          <w:p>
            <w:pPr>
              <w:pStyle w:val="8"/>
              <w:spacing w:before="62" w:line="228" w:lineRule="auto"/>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spacing w:line="244" w:lineRule="auto"/>
              <w:rPr>
                <w:color w:val="auto"/>
                <w:lang w:eastAsia="zh-CN"/>
              </w:rPr>
            </w:pPr>
          </w:p>
          <w:p>
            <w:pPr>
              <w:pStyle w:val="8"/>
              <w:spacing w:before="62" w:line="231"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459" w:lineRule="auto"/>
              <w:rPr>
                <w:color w:val="auto"/>
                <w:lang w:eastAsia="zh-CN"/>
              </w:rPr>
            </w:pPr>
          </w:p>
          <w:p>
            <w:pPr>
              <w:pStyle w:val="8"/>
              <w:spacing w:before="61"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70" w:line="221" w:lineRule="auto"/>
              <w:ind w:left="20" w:firstLine="1"/>
              <w:jc w:val="both"/>
              <w:rPr>
                <w:color w:val="auto"/>
                <w:lang w:eastAsia="zh-CN"/>
              </w:rPr>
            </w:pPr>
            <w:r>
              <w:rPr>
                <w:color w:val="auto"/>
                <w:spacing w:val="13"/>
                <w:lang w:eastAsia="zh-CN"/>
              </w:rPr>
              <w:t>年度内脑血管病出院患者在住院期内的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282" w:line="262" w:lineRule="auto"/>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年度内脑血管病出院患者风险事件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455" w:lineRule="auto"/>
              <w:rPr>
                <w:color w:val="auto"/>
                <w:lang w:eastAsia="zh-CN"/>
              </w:rPr>
            </w:pPr>
          </w:p>
          <w:p>
            <w:pPr>
              <w:pStyle w:val="8"/>
              <w:spacing w:before="62"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427" w:type="dxa"/>
            <w:vMerge w:val="continue"/>
            <w:tcBorders>
              <w:top w:val="nil"/>
            </w:tcBorders>
          </w:tcPr>
          <w:p>
            <w:pPr>
              <w:rPr>
                <w:color w:val="auto"/>
              </w:rPr>
            </w:pPr>
          </w:p>
        </w:tc>
        <w:tc>
          <w:tcPr>
            <w:tcW w:w="2004" w:type="dxa"/>
          </w:tcPr>
          <w:p>
            <w:pPr>
              <w:spacing w:line="246" w:lineRule="auto"/>
              <w:rPr>
                <w:color w:val="auto"/>
              </w:rPr>
            </w:pPr>
          </w:p>
          <w:p>
            <w:pPr>
              <w:pStyle w:val="8"/>
              <w:spacing w:before="62" w:line="225" w:lineRule="auto"/>
              <w:ind w:left="15"/>
              <w:rPr>
                <w:color w:val="auto"/>
              </w:rPr>
            </w:pPr>
            <w:r>
              <w:rPr>
                <w:color w:val="auto"/>
                <w:spacing w:val="9"/>
              </w:rPr>
              <w:t>（三）平均住院日</w:t>
            </w:r>
          </w:p>
        </w:tc>
        <w:tc>
          <w:tcPr>
            <w:tcW w:w="1408" w:type="dxa"/>
          </w:tcPr>
          <w:p>
            <w:pPr>
              <w:pStyle w:val="8"/>
              <w:spacing w:before="71" w:line="214"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6" w:lineRule="auto"/>
              <w:rPr>
                <w:color w:val="auto"/>
                <w:lang w:eastAsia="zh-CN"/>
              </w:rPr>
            </w:pPr>
          </w:p>
          <w:p>
            <w:pPr>
              <w:pStyle w:val="8"/>
              <w:spacing w:before="62" w:line="229" w:lineRule="auto"/>
              <w:ind w:left="531"/>
              <w:rPr>
                <w:color w:val="auto"/>
              </w:rPr>
            </w:pPr>
            <w:r>
              <w:rPr>
                <w:color w:val="auto"/>
              </w:rPr>
              <w:t>天</w:t>
            </w:r>
          </w:p>
        </w:tc>
        <w:tc>
          <w:tcPr>
            <w:tcW w:w="3544" w:type="dxa"/>
          </w:tcPr>
          <w:p>
            <w:pPr>
              <w:pStyle w:val="8"/>
              <w:spacing w:before="189" w:line="230" w:lineRule="auto"/>
              <w:ind w:left="39" w:right="13" w:hanging="18"/>
              <w:rPr>
                <w:color w:val="auto"/>
                <w:lang w:eastAsia="zh-CN"/>
              </w:rPr>
            </w:pPr>
            <w:r>
              <w:rPr>
                <w:color w:val="auto"/>
                <w:spacing w:val="16"/>
                <w:lang w:eastAsia="zh-CN"/>
              </w:rPr>
              <w:t>年度内脑血管病出院患者的平均住院时</w:t>
            </w:r>
            <w:r>
              <w:rPr>
                <w:color w:val="auto"/>
                <w:lang w:eastAsia="zh-CN"/>
              </w:rPr>
              <w:t>间</w:t>
            </w:r>
          </w:p>
        </w:tc>
        <w:tc>
          <w:tcPr>
            <w:tcW w:w="3176" w:type="dxa"/>
          </w:tcPr>
          <w:p>
            <w:pPr>
              <w:pStyle w:val="8"/>
              <w:spacing w:before="166"/>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pStyle w:val="8"/>
              <w:spacing w:before="283" w:line="225" w:lineRule="auto"/>
              <w:ind w:left="282"/>
              <w:rPr>
                <w:color w:val="auto"/>
              </w:rPr>
            </w:pPr>
            <w:r>
              <w:rPr>
                <w:color w:val="auto"/>
                <w:spacing w:val="6"/>
              </w:rPr>
              <w:t>监测比较</w:t>
            </w:r>
          </w:p>
        </w:tc>
      </w:tr>
    </w:tbl>
    <w:p>
      <w:pPr>
        <w:rPr>
          <w:color w:val="auto"/>
        </w:rPr>
        <w:sectPr>
          <w:footerReference r:id="rId56" w:type="default"/>
          <w:pgSz w:w="16839" w:h="11906"/>
          <w:pgMar w:top="1012" w:right="118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restart"/>
            <w:tcBorders>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spacing w:line="240" w:lineRule="exact"/>
              <w:rPr>
                <w:color w:val="auto"/>
                <w:lang w:eastAsia="zh-CN"/>
              </w:rPr>
            </w:pPr>
          </w:p>
          <w:p>
            <w:pPr>
              <w:pStyle w:val="8"/>
              <w:spacing w:before="0" w:line="240" w:lineRule="exact"/>
              <w:ind w:left="19" w:right="13" w:firstLine="2"/>
              <w:rPr>
                <w:color w:val="auto"/>
                <w:lang w:eastAsia="zh-CN"/>
              </w:rPr>
            </w:pPr>
            <w:r>
              <w:rPr>
                <w:color w:val="auto"/>
                <w:spacing w:val="16"/>
                <w:lang w:eastAsia="zh-CN"/>
              </w:rPr>
              <w:t>年度内脑血管病出院患者的平均住院费</w:t>
            </w:r>
            <w:r>
              <w:rPr>
                <w:color w:val="auto"/>
                <w:spacing w:val="8"/>
                <w:lang w:eastAsia="zh-CN"/>
              </w:rPr>
              <w:t>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45" w:right="13" w:hanging="28"/>
              <w:rPr>
                <w:color w:val="auto"/>
                <w:lang w:eastAsia="zh-CN"/>
              </w:rPr>
            </w:pPr>
            <w:r>
              <w:rPr>
                <w:color w:val="auto"/>
                <w:spacing w:val="4"/>
                <w:lang w:eastAsia="zh-CN"/>
              </w:rPr>
              <w:t>使用合适的评定量表，对年度内脑血管病</w:t>
            </w:r>
            <w:r>
              <w:rPr>
                <w:color w:val="auto"/>
                <w:spacing w:val="7"/>
                <w:lang w:eastAsia="zh-CN"/>
              </w:rPr>
              <w:t>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年度内脑血管病出院患者开展疗效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3"/>
              <w:rPr>
                <w:color w:val="auto"/>
                <w:lang w:eastAsia="zh-CN"/>
              </w:rPr>
            </w:pPr>
            <w:r>
              <w:rPr>
                <w:color w:val="auto"/>
                <w:spacing w:val="6"/>
                <w:lang w:eastAsia="zh-CN"/>
              </w:rPr>
              <w:t>二、颅内损伤</w:t>
            </w:r>
          </w:p>
          <w:p>
            <w:pPr>
              <w:pStyle w:val="8"/>
              <w:spacing w:before="0" w:line="240" w:lineRule="exact"/>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6"/>
                <w:lang w:eastAsia="zh-CN"/>
              </w:rPr>
              <w:t>S06.0</w:t>
            </w:r>
            <w:r>
              <w:rPr>
                <w:color w:val="auto"/>
                <w:spacing w:val="6"/>
                <w:lang w:eastAsia="zh-CN"/>
              </w:rPr>
              <w:t>－</w:t>
            </w:r>
            <w:r>
              <w:rPr>
                <w:rFonts w:ascii="Times New Roman" w:hAnsi="Times New Roman" w:eastAsia="Times New Roman" w:cs="Times New Roman"/>
                <w:color w:val="auto"/>
                <w:spacing w:val="6"/>
                <w:lang w:eastAsia="zh-CN"/>
              </w:rPr>
              <w:t>S06.9</w:t>
            </w:r>
            <w:r>
              <w:rPr>
                <w:color w:val="auto"/>
                <w:spacing w:val="6"/>
                <w:lang w:eastAsia="zh-CN"/>
              </w:rPr>
              <w:t>、</w:t>
            </w:r>
            <w:r>
              <w:rPr>
                <w:rFonts w:ascii="Times New Roman" w:hAnsi="Times New Roman" w:eastAsia="Times New Roman" w:cs="Times New Roman"/>
                <w:color w:val="auto"/>
                <w:spacing w:val="2"/>
                <w:lang w:eastAsia="zh-CN"/>
              </w:rPr>
              <w:t>T90.0</w:t>
            </w:r>
            <w:r>
              <w:rPr>
                <w:color w:val="auto"/>
                <w:spacing w:val="2"/>
                <w:lang w:eastAsia="zh-CN"/>
              </w:rPr>
              <w:t>－</w:t>
            </w:r>
            <w:r>
              <w:rPr>
                <w:rFonts w:ascii="Times New Roman" w:hAnsi="Times New Roman" w:eastAsia="Times New Roman" w:cs="Times New Roman"/>
                <w:color w:val="auto"/>
                <w:spacing w:val="2"/>
                <w:lang w:eastAsia="zh-CN"/>
              </w:rPr>
              <w:t>T90.9</w:t>
            </w:r>
            <w:r>
              <w:rPr>
                <w:color w:val="auto"/>
                <w:spacing w:val="2"/>
                <w:lang w:eastAsia="zh-CN"/>
              </w:rPr>
              <w:t>的</w:t>
            </w:r>
            <w:r>
              <w:rPr>
                <w:color w:val="auto"/>
                <w:spacing w:val="41"/>
                <w:lang w:eastAsia="zh-CN"/>
              </w:rPr>
              <w:t>颅内损伤及其后遗症的非产</w:t>
            </w:r>
            <w:r>
              <w:rPr>
                <w:color w:val="auto"/>
                <w:spacing w:val="8"/>
                <w:lang w:eastAsia="zh-CN"/>
              </w:rPr>
              <w:t>妇出院患者</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9" w:right="13" w:firstLine="2"/>
              <w:rPr>
                <w:color w:val="auto"/>
                <w:lang w:eastAsia="zh-CN"/>
              </w:rPr>
            </w:pPr>
            <w:r>
              <w:rPr>
                <w:color w:val="auto"/>
                <w:spacing w:val="16"/>
                <w:lang w:eastAsia="zh-CN"/>
              </w:rPr>
              <w:t>年度内对颅内损伤出院患者在治疗前使</w:t>
            </w:r>
            <w:r>
              <w:rPr>
                <w:color w:val="auto"/>
                <w:spacing w:val="9"/>
                <w:lang w:eastAsia="zh-CN"/>
              </w:rPr>
              <w:t>用合适的评定量表开展功能评估的统计</w:t>
            </w:r>
          </w:p>
        </w:tc>
        <w:tc>
          <w:tcPr>
            <w:tcW w:w="3176" w:type="dxa"/>
          </w:tcPr>
          <w:p>
            <w:pPr>
              <w:pStyle w:val="8"/>
              <w:spacing w:before="0" w:line="240" w:lineRule="exact"/>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年度内颅内损伤出院患者治疗前完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19" w:hRule="atLeast"/>
        </w:trPr>
        <w:tc>
          <w:tcPr>
            <w:tcW w:w="1427" w:type="dxa"/>
            <w:vMerge w:val="continue"/>
            <w:tcBorders>
              <w:top w:val="nil"/>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spacing w:line="240" w:lineRule="exact"/>
              <w:rPr>
                <w:color w:val="auto"/>
                <w:lang w:eastAsia="zh-CN"/>
              </w:rPr>
            </w:pPr>
          </w:p>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0" w:firstLine="1"/>
              <w:jc w:val="both"/>
              <w:rPr>
                <w:color w:val="auto"/>
                <w:lang w:eastAsia="zh-CN"/>
              </w:rPr>
            </w:pPr>
            <w:r>
              <w:rPr>
                <w:color w:val="auto"/>
                <w:spacing w:val="13"/>
                <w:lang w:eastAsia="zh-CN"/>
              </w:rPr>
              <w:t>年度内颅内损伤出院患者在住院期内的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年度内颅内损伤出院患者风险事件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425"/>
              <w:rPr>
                <w:color w:val="auto"/>
              </w:rPr>
            </w:pPr>
            <w:r>
              <w:rPr>
                <w:color w:val="auto"/>
              </w:rPr>
              <w:t>天</w:t>
            </w:r>
          </w:p>
        </w:tc>
        <w:tc>
          <w:tcPr>
            <w:tcW w:w="3544" w:type="dxa"/>
          </w:tcPr>
          <w:p>
            <w:pPr>
              <w:pStyle w:val="8"/>
              <w:spacing w:before="0" w:line="240" w:lineRule="exact"/>
              <w:ind w:left="39" w:right="13" w:hanging="18"/>
              <w:rPr>
                <w:color w:val="auto"/>
                <w:lang w:eastAsia="zh-CN"/>
              </w:rPr>
            </w:pPr>
            <w:r>
              <w:rPr>
                <w:color w:val="auto"/>
                <w:spacing w:val="16"/>
                <w:lang w:eastAsia="zh-CN"/>
              </w:rPr>
              <w:t>年度内颅内损伤出院患者的平均住院时</w:t>
            </w:r>
            <w:r>
              <w:rPr>
                <w:color w:val="auto"/>
                <w:lang w:eastAsia="zh-CN"/>
              </w:rPr>
              <w:t>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spacing w:line="240" w:lineRule="exact"/>
              <w:rPr>
                <w:color w:val="auto"/>
                <w:lang w:eastAsia="zh-CN"/>
              </w:rPr>
            </w:pPr>
          </w:p>
          <w:p>
            <w:pPr>
              <w:pStyle w:val="8"/>
              <w:spacing w:before="0" w:line="240" w:lineRule="exact"/>
              <w:ind w:left="19" w:right="13" w:firstLine="2"/>
              <w:rPr>
                <w:color w:val="auto"/>
                <w:lang w:eastAsia="zh-CN"/>
              </w:rPr>
            </w:pPr>
            <w:r>
              <w:rPr>
                <w:color w:val="auto"/>
                <w:spacing w:val="16"/>
                <w:lang w:eastAsia="zh-CN"/>
              </w:rPr>
              <w:t>年度内颅内损伤出院患者的平均住院费</w:t>
            </w:r>
            <w:r>
              <w:rPr>
                <w:color w:val="auto"/>
                <w:spacing w:val="8"/>
                <w:lang w:eastAsia="zh-CN"/>
              </w:rPr>
              <w:t>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45" w:right="13" w:hanging="28"/>
              <w:rPr>
                <w:color w:val="auto"/>
                <w:lang w:eastAsia="zh-CN"/>
              </w:rPr>
            </w:pPr>
            <w:r>
              <w:rPr>
                <w:color w:val="auto"/>
                <w:spacing w:val="4"/>
                <w:lang w:eastAsia="zh-CN"/>
              </w:rPr>
              <w:t>使用合适的评定量表，对年度内颅内损伤</w:t>
            </w:r>
            <w:r>
              <w:rPr>
                <w:color w:val="auto"/>
                <w:spacing w:val="7"/>
                <w:lang w:eastAsia="zh-CN"/>
              </w:rPr>
              <w:t>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年度内颅内损伤出院患者开展疗效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7"/>
              <w:rPr>
                <w:color w:val="auto"/>
                <w:lang w:eastAsia="zh-CN"/>
              </w:rPr>
            </w:pPr>
            <w:r>
              <w:rPr>
                <w:color w:val="auto"/>
                <w:spacing w:val="6"/>
                <w:lang w:eastAsia="zh-CN"/>
              </w:rPr>
              <w:t>三、脊髓损伤</w:t>
            </w:r>
          </w:p>
          <w:p>
            <w:pPr>
              <w:pStyle w:val="8"/>
              <w:spacing w:before="0" w:line="240" w:lineRule="exact"/>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4"/>
                <w:lang w:eastAsia="zh-CN"/>
              </w:rPr>
              <w:t>S14.1</w:t>
            </w:r>
            <w:r>
              <w:rPr>
                <w:color w:val="auto"/>
                <w:spacing w:val="-4"/>
                <w:lang w:eastAsia="zh-CN"/>
              </w:rPr>
              <w:t>、</w:t>
            </w:r>
            <w:r>
              <w:rPr>
                <w:rFonts w:ascii="Times New Roman" w:hAnsi="Times New Roman" w:eastAsia="Times New Roman" w:cs="Times New Roman"/>
                <w:color w:val="auto"/>
                <w:spacing w:val="-4"/>
                <w:lang w:eastAsia="zh-CN"/>
              </w:rPr>
              <w:t>S24.1</w:t>
            </w:r>
            <w:r>
              <w:rPr>
                <w:color w:val="auto"/>
                <w:spacing w:val="-4"/>
                <w:lang w:eastAsia="zh-CN"/>
              </w:rPr>
              <w:t>、</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9" w:right="11" w:firstLine="2"/>
              <w:rPr>
                <w:color w:val="auto"/>
                <w:lang w:eastAsia="zh-CN"/>
              </w:rPr>
            </w:pPr>
            <w:r>
              <w:rPr>
                <w:color w:val="auto"/>
                <w:spacing w:val="16"/>
                <w:lang w:eastAsia="zh-CN"/>
              </w:rPr>
              <w:t>年度内对脊髓损伤出院患者在治疗前使</w:t>
            </w:r>
            <w:r>
              <w:rPr>
                <w:color w:val="auto"/>
                <w:spacing w:val="9"/>
                <w:lang w:eastAsia="zh-CN"/>
              </w:rPr>
              <w:t>用合适的评定量表开展功能评估的统计</w:t>
            </w:r>
          </w:p>
        </w:tc>
        <w:tc>
          <w:tcPr>
            <w:tcW w:w="3176" w:type="dxa"/>
          </w:tcPr>
          <w:p>
            <w:pPr>
              <w:pStyle w:val="8"/>
              <w:spacing w:before="0" w:line="240" w:lineRule="exact"/>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年度内脊髓损伤出院患者治疗前完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427" w:type="dxa"/>
            <w:vMerge w:val="continue"/>
            <w:tcBorders>
              <w:top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0" w:firstLine="1"/>
              <w:jc w:val="both"/>
              <w:rPr>
                <w:color w:val="auto"/>
                <w:lang w:eastAsia="zh-CN"/>
              </w:rPr>
            </w:pPr>
            <w:r>
              <w:rPr>
                <w:color w:val="auto"/>
                <w:spacing w:val="13"/>
                <w:lang w:eastAsia="zh-CN"/>
              </w:rPr>
              <w:t>年度内脊髓损伤出院患者在住院期内的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年度内脊髓损伤出院患者风险事件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bl>
    <w:p>
      <w:pPr>
        <w:spacing w:line="189" w:lineRule="exact"/>
        <w:rPr>
          <w:color w:val="auto"/>
          <w:sz w:val="16"/>
        </w:rPr>
      </w:pPr>
    </w:p>
    <w:p>
      <w:pPr>
        <w:spacing w:line="189" w:lineRule="exact"/>
        <w:rPr>
          <w:color w:val="auto"/>
          <w:sz w:val="16"/>
          <w:szCs w:val="16"/>
        </w:rPr>
        <w:sectPr>
          <w:footerReference r:id="rId57" w:type="default"/>
          <w:pgSz w:w="16839" w:h="11906"/>
          <w:pgMar w:top="1012" w:right="1180" w:bottom="1437" w:left="1511" w:header="0" w:footer="1277" w:gutter="0"/>
          <w:pgNumType w:fmt="numberInDash"/>
          <w:cols w:space="720" w:num="1"/>
        </w:sectPr>
      </w:pPr>
    </w:p>
    <w:p>
      <w:pPr>
        <w:spacing w:before="18"/>
        <w:rPr>
          <w:color w:val="auto"/>
        </w:r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27" w:type="dxa"/>
            <w:vMerge w:val="restart"/>
            <w:tcBorders>
              <w:bottom w:val="nil"/>
            </w:tcBorders>
          </w:tcPr>
          <w:p>
            <w:pPr>
              <w:pStyle w:val="8"/>
              <w:spacing w:before="0" w:line="240" w:lineRule="exact"/>
              <w:ind w:left="27"/>
              <w:rPr>
                <w:color w:val="auto"/>
                <w:lang w:eastAsia="zh-CN"/>
              </w:rPr>
            </w:pPr>
            <w:r>
              <w:rPr>
                <w:rFonts w:ascii="Times New Roman" w:hAnsi="Times New Roman" w:eastAsia="Times New Roman" w:cs="Times New Roman"/>
                <w:color w:val="auto"/>
                <w:spacing w:val="-2"/>
                <w:lang w:eastAsia="zh-CN"/>
              </w:rPr>
              <w:t>S34.1</w:t>
            </w:r>
            <w:r>
              <w:rPr>
                <w:color w:val="auto"/>
                <w:spacing w:val="-2"/>
                <w:lang w:eastAsia="zh-CN"/>
              </w:rPr>
              <w:t>、</w:t>
            </w:r>
            <w:r>
              <w:rPr>
                <w:rFonts w:ascii="Times New Roman" w:hAnsi="Times New Roman" w:eastAsia="Times New Roman" w:cs="Times New Roman"/>
                <w:color w:val="auto"/>
                <w:spacing w:val="-2"/>
                <w:lang w:eastAsia="zh-CN"/>
              </w:rPr>
              <w:t>T09.3</w:t>
            </w:r>
            <w:r>
              <w:rPr>
                <w:color w:val="auto"/>
                <w:spacing w:val="-2"/>
                <w:lang w:eastAsia="zh-CN"/>
              </w:rPr>
              <w:t>、</w:t>
            </w:r>
          </w:p>
          <w:p>
            <w:pPr>
              <w:pStyle w:val="8"/>
              <w:spacing w:before="0" w:line="240" w:lineRule="exact"/>
              <w:ind w:left="25" w:right="15" w:hanging="5"/>
              <w:rPr>
                <w:color w:val="auto"/>
                <w:lang w:eastAsia="zh-CN"/>
              </w:rPr>
            </w:pPr>
            <w:r>
              <w:rPr>
                <w:rFonts w:ascii="Times New Roman" w:hAnsi="Times New Roman" w:eastAsia="Times New Roman" w:cs="Times New Roman"/>
                <w:color w:val="auto"/>
                <w:spacing w:val="5"/>
                <w:lang w:eastAsia="zh-CN"/>
              </w:rPr>
              <w:t>T91.3</w:t>
            </w:r>
            <w:r>
              <w:rPr>
                <w:color w:val="auto"/>
                <w:spacing w:val="5"/>
                <w:lang w:eastAsia="zh-CN"/>
              </w:rPr>
              <w:t>的脊髓损</w:t>
            </w:r>
            <w:r>
              <w:rPr>
                <w:color w:val="auto"/>
                <w:spacing w:val="40"/>
                <w:lang w:eastAsia="zh-CN"/>
              </w:rPr>
              <w:t>伤及其后遗症</w:t>
            </w:r>
            <w:r>
              <w:rPr>
                <w:color w:val="auto"/>
                <w:spacing w:val="-9"/>
                <w:lang w:eastAsia="zh-CN"/>
              </w:rPr>
              <w:t>的非产妇出院</w:t>
            </w:r>
            <w:r>
              <w:rPr>
                <w:color w:val="auto"/>
                <w:spacing w:val="3"/>
                <w:lang w:eastAsia="zh-CN"/>
              </w:rPr>
              <w:t>患者</w:t>
            </w: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531"/>
              <w:rPr>
                <w:color w:val="auto"/>
              </w:rPr>
            </w:pPr>
            <w:r>
              <w:rPr>
                <w:color w:val="auto"/>
              </w:rPr>
              <w:t>天</w:t>
            </w:r>
          </w:p>
        </w:tc>
        <w:tc>
          <w:tcPr>
            <w:tcW w:w="3544" w:type="dxa"/>
          </w:tcPr>
          <w:p>
            <w:pPr>
              <w:pStyle w:val="8"/>
              <w:spacing w:before="0" w:line="240" w:lineRule="exact"/>
              <w:ind w:left="39" w:right="11" w:hanging="18"/>
              <w:rPr>
                <w:color w:val="auto"/>
                <w:lang w:eastAsia="zh-CN"/>
              </w:rPr>
            </w:pPr>
            <w:r>
              <w:rPr>
                <w:color w:val="auto"/>
                <w:spacing w:val="16"/>
                <w:lang w:eastAsia="zh-CN"/>
              </w:rPr>
              <w:t>年度内脊髓损伤出院患者的平均住院时</w:t>
            </w:r>
            <w:r>
              <w:rPr>
                <w:color w:val="auto"/>
                <w:lang w:eastAsia="zh-CN"/>
              </w:rPr>
              <w:t>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spacing w:line="240" w:lineRule="exact"/>
              <w:rPr>
                <w:color w:val="auto"/>
                <w:lang w:eastAsia="zh-CN"/>
              </w:rPr>
            </w:pPr>
          </w:p>
          <w:p>
            <w:pPr>
              <w:pStyle w:val="8"/>
              <w:spacing w:before="0" w:line="240" w:lineRule="exact"/>
              <w:ind w:left="19" w:right="11" w:firstLine="2"/>
              <w:rPr>
                <w:color w:val="auto"/>
                <w:lang w:eastAsia="zh-CN"/>
              </w:rPr>
            </w:pPr>
            <w:r>
              <w:rPr>
                <w:color w:val="auto"/>
                <w:spacing w:val="16"/>
                <w:lang w:eastAsia="zh-CN"/>
              </w:rPr>
              <w:t>年度内脊髓损伤出院患者的平均住院费</w:t>
            </w:r>
            <w:r>
              <w:rPr>
                <w:color w:val="auto"/>
                <w:spacing w:val="8"/>
                <w:lang w:eastAsia="zh-CN"/>
              </w:rPr>
              <w:t>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45" w:right="11" w:hanging="28"/>
              <w:rPr>
                <w:color w:val="auto"/>
                <w:lang w:eastAsia="zh-CN"/>
              </w:rPr>
            </w:pPr>
            <w:r>
              <w:rPr>
                <w:color w:val="auto"/>
                <w:spacing w:val="5"/>
                <w:lang w:eastAsia="zh-CN"/>
              </w:rPr>
              <w:t>使用合适的评定量表，对年度内脊髓损伤</w:t>
            </w:r>
            <w:r>
              <w:rPr>
                <w:color w:val="auto"/>
                <w:spacing w:val="7"/>
                <w:lang w:eastAsia="zh-CN"/>
              </w:rPr>
              <w:t>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年度内脊髓损伤出院患者开展疗效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46"/>
              <w:rPr>
                <w:color w:val="auto"/>
                <w:lang w:eastAsia="zh-CN"/>
              </w:rPr>
            </w:pPr>
            <w:r>
              <w:rPr>
                <w:color w:val="auto"/>
                <w:spacing w:val="4"/>
                <w:lang w:eastAsia="zh-CN"/>
              </w:rPr>
              <w:t>四、上肢损伤</w:t>
            </w:r>
          </w:p>
          <w:p>
            <w:pPr>
              <w:pStyle w:val="8"/>
              <w:spacing w:before="0" w:line="240" w:lineRule="exact"/>
              <w:ind w:left="19" w:right="13"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6"/>
                <w:lang w:eastAsia="zh-CN"/>
              </w:rPr>
              <w:t>S40.0</w:t>
            </w:r>
            <w:r>
              <w:rPr>
                <w:color w:val="auto"/>
                <w:spacing w:val="6"/>
                <w:lang w:eastAsia="zh-CN"/>
              </w:rPr>
              <w:t>－</w:t>
            </w:r>
            <w:r>
              <w:rPr>
                <w:rFonts w:ascii="Times New Roman" w:hAnsi="Times New Roman" w:eastAsia="Times New Roman" w:cs="Times New Roman"/>
                <w:color w:val="auto"/>
                <w:spacing w:val="6"/>
                <w:lang w:eastAsia="zh-CN"/>
              </w:rPr>
              <w:t>S69.9</w:t>
            </w:r>
            <w:r>
              <w:rPr>
                <w:color w:val="auto"/>
                <w:spacing w:val="6"/>
                <w:lang w:eastAsia="zh-CN"/>
              </w:rPr>
              <w:t>、</w:t>
            </w:r>
            <w:r>
              <w:rPr>
                <w:rFonts w:ascii="Times New Roman" w:hAnsi="Times New Roman" w:eastAsia="Times New Roman" w:cs="Times New Roman"/>
                <w:color w:val="auto"/>
                <w:spacing w:val="-2"/>
                <w:lang w:eastAsia="zh-CN"/>
              </w:rPr>
              <w:t>T92.0</w:t>
            </w:r>
            <w:r>
              <w:rPr>
                <w:color w:val="auto"/>
                <w:spacing w:val="-2"/>
                <w:lang w:eastAsia="zh-CN"/>
              </w:rPr>
              <w:t>－</w:t>
            </w:r>
            <w:r>
              <w:rPr>
                <w:rFonts w:ascii="Times New Roman" w:hAnsi="Times New Roman" w:eastAsia="Times New Roman" w:cs="Times New Roman"/>
                <w:color w:val="auto"/>
                <w:spacing w:val="-2"/>
                <w:lang w:eastAsia="zh-CN"/>
              </w:rPr>
              <w:t>T92.9</w:t>
            </w:r>
            <w:r>
              <w:rPr>
                <w:color w:val="auto"/>
                <w:spacing w:val="41"/>
                <w:lang w:eastAsia="zh-CN"/>
              </w:rPr>
              <w:t>的上肢各部位</w:t>
            </w:r>
            <w:r>
              <w:rPr>
                <w:color w:val="auto"/>
                <w:spacing w:val="8"/>
                <w:lang w:eastAsia="zh-CN"/>
              </w:rPr>
              <w:t>骨折、损伤及其</w:t>
            </w:r>
            <w:r>
              <w:rPr>
                <w:color w:val="auto"/>
                <w:spacing w:val="41"/>
                <w:lang w:eastAsia="zh-CN"/>
              </w:rPr>
              <w:t>后遗症的非产</w:t>
            </w:r>
            <w:r>
              <w:rPr>
                <w:color w:val="auto"/>
                <w:spacing w:val="8"/>
                <w:lang w:eastAsia="zh-CN"/>
              </w:rPr>
              <w:t>妇出院患者</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9" w:right="11" w:firstLine="2"/>
              <w:rPr>
                <w:color w:val="auto"/>
                <w:lang w:eastAsia="zh-CN"/>
              </w:rPr>
            </w:pPr>
            <w:r>
              <w:rPr>
                <w:color w:val="auto"/>
                <w:spacing w:val="16"/>
                <w:lang w:eastAsia="zh-CN"/>
              </w:rPr>
              <w:t>年度内对上肢损伤出院患者在治疗前使</w:t>
            </w:r>
            <w:r>
              <w:rPr>
                <w:color w:val="auto"/>
                <w:spacing w:val="9"/>
                <w:lang w:eastAsia="zh-CN"/>
              </w:rPr>
              <w:t>用合适的评定量表开展功能评估的统计</w:t>
            </w:r>
          </w:p>
        </w:tc>
        <w:tc>
          <w:tcPr>
            <w:tcW w:w="3176" w:type="dxa"/>
          </w:tcPr>
          <w:p>
            <w:pPr>
              <w:pStyle w:val="8"/>
              <w:spacing w:before="0" w:line="240" w:lineRule="exact"/>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年度内上肢损伤出院患者治疗前完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continue"/>
            <w:tcBorders>
              <w:top w:val="nil"/>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0" w:firstLine="1"/>
              <w:jc w:val="both"/>
              <w:rPr>
                <w:color w:val="auto"/>
                <w:lang w:eastAsia="zh-CN"/>
              </w:rPr>
            </w:pPr>
            <w:r>
              <w:rPr>
                <w:color w:val="auto"/>
                <w:spacing w:val="13"/>
                <w:lang w:eastAsia="zh-CN"/>
              </w:rPr>
              <w:t>年度内上肢损伤出院患者在住院期内的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年度内上肢损伤出院患者风险事件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425"/>
              <w:rPr>
                <w:color w:val="auto"/>
              </w:rPr>
            </w:pPr>
            <w:r>
              <w:rPr>
                <w:color w:val="auto"/>
              </w:rPr>
              <w:t>天</w:t>
            </w:r>
          </w:p>
        </w:tc>
        <w:tc>
          <w:tcPr>
            <w:tcW w:w="3544" w:type="dxa"/>
          </w:tcPr>
          <w:p>
            <w:pPr>
              <w:pStyle w:val="8"/>
              <w:spacing w:before="0" w:line="240" w:lineRule="exact"/>
              <w:ind w:left="39" w:right="11" w:hanging="18"/>
              <w:rPr>
                <w:color w:val="auto"/>
                <w:lang w:eastAsia="zh-CN"/>
              </w:rPr>
            </w:pPr>
            <w:r>
              <w:rPr>
                <w:color w:val="auto"/>
                <w:spacing w:val="16"/>
                <w:lang w:eastAsia="zh-CN"/>
              </w:rPr>
              <w:t>年度内上肢损伤出院患者的平均住院时</w:t>
            </w:r>
            <w:r>
              <w:rPr>
                <w:color w:val="auto"/>
                <w:lang w:eastAsia="zh-CN"/>
              </w:rPr>
              <w:t>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spacing w:line="240" w:lineRule="exact"/>
              <w:rPr>
                <w:color w:val="auto"/>
                <w:lang w:eastAsia="zh-CN"/>
              </w:rPr>
            </w:pPr>
          </w:p>
          <w:p>
            <w:pPr>
              <w:pStyle w:val="8"/>
              <w:spacing w:before="0" w:line="240" w:lineRule="exact"/>
              <w:ind w:left="19" w:right="11" w:firstLine="2"/>
              <w:rPr>
                <w:color w:val="auto"/>
                <w:lang w:eastAsia="zh-CN"/>
              </w:rPr>
            </w:pPr>
            <w:r>
              <w:rPr>
                <w:color w:val="auto"/>
                <w:spacing w:val="16"/>
                <w:lang w:eastAsia="zh-CN"/>
              </w:rPr>
              <w:t>年度内上肢损伤出院患者的平均住院费</w:t>
            </w:r>
            <w:r>
              <w:rPr>
                <w:color w:val="auto"/>
                <w:spacing w:val="8"/>
                <w:lang w:eastAsia="zh-CN"/>
              </w:rPr>
              <w:t>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45" w:right="11" w:hanging="28"/>
              <w:rPr>
                <w:color w:val="auto"/>
                <w:lang w:eastAsia="zh-CN"/>
              </w:rPr>
            </w:pPr>
            <w:r>
              <w:rPr>
                <w:color w:val="auto"/>
                <w:spacing w:val="5"/>
                <w:lang w:eastAsia="zh-CN"/>
              </w:rPr>
              <w:t>使用合适的评定量表，对年度内上肢损伤</w:t>
            </w:r>
            <w:r>
              <w:rPr>
                <w:color w:val="auto"/>
                <w:spacing w:val="7"/>
                <w:lang w:eastAsia="zh-CN"/>
              </w:rPr>
              <w:t>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年度内上肢损伤出院患者开展疗效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427" w:type="dxa"/>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9" w:right="11" w:firstLine="2"/>
              <w:rPr>
                <w:color w:val="auto"/>
                <w:lang w:eastAsia="zh-CN"/>
              </w:rPr>
            </w:pPr>
            <w:r>
              <w:rPr>
                <w:color w:val="auto"/>
                <w:spacing w:val="16"/>
                <w:lang w:eastAsia="zh-CN"/>
              </w:rPr>
              <w:t>年度内对下肢损伤出院患者在治疗前使</w:t>
            </w:r>
            <w:r>
              <w:rPr>
                <w:color w:val="auto"/>
                <w:spacing w:val="9"/>
                <w:lang w:eastAsia="zh-CN"/>
              </w:rPr>
              <w:t>用合适的评定量表开展功能评估的统计</w:t>
            </w:r>
          </w:p>
        </w:tc>
        <w:tc>
          <w:tcPr>
            <w:tcW w:w="3176" w:type="dxa"/>
          </w:tcPr>
          <w:p>
            <w:pPr>
              <w:pStyle w:val="8"/>
              <w:spacing w:before="0" w:line="240" w:lineRule="exact"/>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年度内下肢损伤出院患者治疗前完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bl>
    <w:p>
      <w:pPr>
        <w:rPr>
          <w:color w:val="auto"/>
        </w:rPr>
      </w:pPr>
    </w:p>
    <w:p>
      <w:pPr>
        <w:rPr>
          <w:color w:val="auto"/>
        </w:rPr>
        <w:sectPr>
          <w:footerReference r:id="rId58" w:type="default"/>
          <w:pgSz w:w="16839" w:h="11906"/>
          <w:pgMar w:top="1012" w:right="118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27" w:type="dxa"/>
          </w:tcPr>
          <w:p>
            <w:pPr>
              <w:spacing w:before="202" w:line="230" w:lineRule="auto"/>
              <w:ind w:left="719"/>
              <w:rPr>
                <w:rFonts w:ascii="黑体" w:hAnsi="黑体" w:eastAsia="黑体" w:cs="黑体"/>
                <w:color w:val="auto"/>
                <w:sz w:val="19"/>
                <w:szCs w:val="19"/>
              </w:rPr>
            </w:pPr>
            <w:bookmarkStart w:id="5" w:name="bookmark12"/>
            <w:bookmarkEnd w:id="5"/>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restart"/>
            <w:tcBorders>
              <w:bottom w:val="nil"/>
            </w:tcBorders>
          </w:tcPr>
          <w:p>
            <w:pPr>
              <w:pStyle w:val="8"/>
              <w:spacing w:before="0" w:line="240" w:lineRule="exact"/>
              <w:ind w:left="29"/>
              <w:rPr>
                <w:color w:val="auto"/>
                <w:lang w:eastAsia="zh-CN"/>
              </w:rPr>
            </w:pPr>
            <w:r>
              <w:rPr>
                <w:color w:val="auto"/>
                <w:spacing w:val="7"/>
                <w:lang w:eastAsia="zh-CN"/>
              </w:rPr>
              <w:t>五、下肢损伤</w:t>
            </w:r>
          </w:p>
          <w:p>
            <w:pPr>
              <w:pStyle w:val="8"/>
              <w:spacing w:before="0" w:line="240" w:lineRule="exact"/>
              <w:ind w:left="19" w:right="13"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6"/>
                <w:lang w:eastAsia="zh-CN"/>
              </w:rPr>
              <w:t>S70.0</w:t>
            </w:r>
            <w:r>
              <w:rPr>
                <w:color w:val="auto"/>
                <w:spacing w:val="6"/>
                <w:lang w:eastAsia="zh-CN"/>
              </w:rPr>
              <w:t>－</w:t>
            </w:r>
            <w:r>
              <w:rPr>
                <w:rFonts w:ascii="Times New Roman" w:hAnsi="Times New Roman" w:eastAsia="Times New Roman" w:cs="Times New Roman"/>
                <w:color w:val="auto"/>
                <w:spacing w:val="6"/>
                <w:lang w:eastAsia="zh-CN"/>
              </w:rPr>
              <w:t>S99.9</w:t>
            </w:r>
            <w:r>
              <w:rPr>
                <w:color w:val="auto"/>
                <w:spacing w:val="6"/>
                <w:lang w:eastAsia="zh-CN"/>
              </w:rPr>
              <w:t>、</w:t>
            </w:r>
            <w:r>
              <w:rPr>
                <w:rFonts w:ascii="Times New Roman" w:hAnsi="Times New Roman" w:eastAsia="Times New Roman" w:cs="Times New Roman"/>
                <w:color w:val="auto"/>
                <w:spacing w:val="-2"/>
                <w:lang w:eastAsia="zh-CN"/>
              </w:rPr>
              <w:t>T93.0</w:t>
            </w:r>
            <w:r>
              <w:rPr>
                <w:color w:val="auto"/>
                <w:spacing w:val="-2"/>
                <w:lang w:eastAsia="zh-CN"/>
              </w:rPr>
              <w:t>－</w:t>
            </w:r>
            <w:r>
              <w:rPr>
                <w:rFonts w:ascii="Times New Roman" w:hAnsi="Times New Roman" w:eastAsia="Times New Roman" w:cs="Times New Roman"/>
                <w:color w:val="auto"/>
                <w:spacing w:val="-2"/>
                <w:lang w:eastAsia="zh-CN"/>
              </w:rPr>
              <w:t>T93.9</w:t>
            </w:r>
            <w:r>
              <w:rPr>
                <w:color w:val="auto"/>
                <w:spacing w:val="41"/>
                <w:lang w:eastAsia="zh-CN"/>
              </w:rPr>
              <w:t>的下肢各部位</w:t>
            </w:r>
            <w:r>
              <w:rPr>
                <w:color w:val="auto"/>
                <w:spacing w:val="8"/>
                <w:lang w:eastAsia="zh-CN"/>
              </w:rPr>
              <w:t>骨折、损伤及其</w:t>
            </w:r>
            <w:r>
              <w:rPr>
                <w:color w:val="auto"/>
                <w:spacing w:val="41"/>
                <w:lang w:eastAsia="zh-CN"/>
              </w:rPr>
              <w:t>后遗症的非产</w:t>
            </w:r>
            <w:r>
              <w:rPr>
                <w:color w:val="auto"/>
                <w:spacing w:val="8"/>
                <w:lang w:eastAsia="zh-CN"/>
              </w:rPr>
              <w:t>妇出院患者</w:t>
            </w: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0" w:firstLine="1"/>
              <w:jc w:val="both"/>
              <w:rPr>
                <w:color w:val="auto"/>
                <w:lang w:eastAsia="zh-CN"/>
              </w:rPr>
            </w:pPr>
            <w:r>
              <w:rPr>
                <w:color w:val="auto"/>
                <w:spacing w:val="13"/>
                <w:lang w:eastAsia="zh-CN"/>
              </w:rPr>
              <w:t>年度内下肢损伤出院患者在住院期内的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年度内下肢损伤出院患者风险事件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425"/>
              <w:rPr>
                <w:color w:val="auto"/>
              </w:rPr>
            </w:pPr>
            <w:r>
              <w:rPr>
                <w:color w:val="auto"/>
              </w:rPr>
              <w:t>天</w:t>
            </w:r>
          </w:p>
        </w:tc>
        <w:tc>
          <w:tcPr>
            <w:tcW w:w="3544" w:type="dxa"/>
          </w:tcPr>
          <w:p>
            <w:pPr>
              <w:pStyle w:val="8"/>
              <w:spacing w:before="0" w:line="240" w:lineRule="exact"/>
              <w:ind w:left="39" w:right="11" w:hanging="18"/>
              <w:rPr>
                <w:color w:val="auto"/>
                <w:lang w:eastAsia="zh-CN"/>
              </w:rPr>
            </w:pPr>
            <w:r>
              <w:rPr>
                <w:color w:val="auto"/>
                <w:spacing w:val="16"/>
                <w:lang w:eastAsia="zh-CN"/>
              </w:rPr>
              <w:t>年度内下肢损伤出院患者的平均住院时</w:t>
            </w:r>
            <w:r>
              <w:rPr>
                <w:color w:val="auto"/>
                <w:lang w:eastAsia="zh-CN"/>
              </w:rPr>
              <w:t>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9" w:right="11" w:firstLine="2"/>
              <w:rPr>
                <w:color w:val="auto"/>
                <w:lang w:eastAsia="zh-CN"/>
              </w:rPr>
            </w:pPr>
            <w:r>
              <w:rPr>
                <w:color w:val="auto"/>
                <w:spacing w:val="16"/>
                <w:lang w:eastAsia="zh-CN"/>
              </w:rPr>
              <w:t>年度内下肢损伤出院患者的平均住院费</w:t>
            </w:r>
            <w:r>
              <w:rPr>
                <w:color w:val="auto"/>
                <w:spacing w:val="8"/>
                <w:lang w:eastAsia="zh-CN"/>
              </w:rPr>
              <w:t>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45" w:right="11" w:hanging="28"/>
              <w:rPr>
                <w:color w:val="auto"/>
                <w:lang w:eastAsia="zh-CN"/>
              </w:rPr>
            </w:pPr>
            <w:r>
              <w:rPr>
                <w:color w:val="auto"/>
                <w:spacing w:val="5"/>
                <w:lang w:eastAsia="zh-CN"/>
              </w:rPr>
              <w:t>使用合适的评定量表，对年度内下肢损伤</w:t>
            </w:r>
            <w:r>
              <w:rPr>
                <w:color w:val="auto"/>
                <w:spacing w:val="7"/>
                <w:lang w:eastAsia="zh-CN"/>
              </w:rPr>
              <w:t>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年度内下肢损伤出院患者开展疗效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31"/>
              <w:rPr>
                <w:color w:val="auto"/>
                <w:lang w:eastAsia="zh-CN"/>
              </w:rPr>
            </w:pPr>
            <w:r>
              <w:rPr>
                <w:color w:val="auto"/>
                <w:spacing w:val="5"/>
                <w:lang w:eastAsia="zh-CN"/>
              </w:rPr>
              <w:t>六、烧伤</w:t>
            </w:r>
          </w:p>
          <w:p>
            <w:pPr>
              <w:pStyle w:val="8"/>
              <w:spacing w:before="0" w:line="240" w:lineRule="exact"/>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5"/>
                <w:lang w:eastAsia="zh-CN"/>
              </w:rPr>
              <w:t>T20.0</w:t>
            </w:r>
            <w:r>
              <w:rPr>
                <w:color w:val="auto"/>
                <w:spacing w:val="5"/>
                <w:lang w:eastAsia="zh-CN"/>
              </w:rPr>
              <w:t>－</w:t>
            </w:r>
            <w:r>
              <w:rPr>
                <w:rFonts w:ascii="Times New Roman" w:hAnsi="Times New Roman" w:eastAsia="Times New Roman" w:cs="Times New Roman"/>
                <w:color w:val="auto"/>
                <w:spacing w:val="5"/>
                <w:lang w:eastAsia="zh-CN"/>
              </w:rPr>
              <w:t>T32.9</w:t>
            </w:r>
            <w:r>
              <w:rPr>
                <w:color w:val="auto"/>
                <w:spacing w:val="5"/>
                <w:lang w:eastAsia="zh-CN"/>
              </w:rPr>
              <w:t>、</w:t>
            </w:r>
            <w:r>
              <w:rPr>
                <w:rFonts w:ascii="Times New Roman" w:hAnsi="Times New Roman" w:eastAsia="Times New Roman" w:cs="Times New Roman"/>
                <w:color w:val="auto"/>
                <w:spacing w:val="2"/>
                <w:lang w:eastAsia="zh-CN"/>
              </w:rPr>
              <w:t>T95.0</w:t>
            </w:r>
            <w:r>
              <w:rPr>
                <w:color w:val="auto"/>
                <w:spacing w:val="2"/>
                <w:lang w:eastAsia="zh-CN"/>
              </w:rPr>
              <w:t>－</w:t>
            </w:r>
            <w:r>
              <w:rPr>
                <w:rFonts w:ascii="Times New Roman" w:hAnsi="Times New Roman" w:eastAsia="Times New Roman" w:cs="Times New Roman"/>
                <w:color w:val="auto"/>
                <w:spacing w:val="2"/>
                <w:lang w:eastAsia="zh-CN"/>
              </w:rPr>
              <w:t>T95.9</w:t>
            </w:r>
            <w:r>
              <w:rPr>
                <w:color w:val="auto"/>
                <w:spacing w:val="2"/>
                <w:lang w:eastAsia="zh-CN"/>
              </w:rPr>
              <w:t>的头颈、躯干、四</w:t>
            </w:r>
            <w:r>
              <w:rPr>
                <w:color w:val="auto"/>
                <w:spacing w:val="41"/>
                <w:lang w:eastAsia="zh-CN"/>
              </w:rPr>
              <w:t>肢各部位烧伤及其后遗症的</w:t>
            </w:r>
            <w:r>
              <w:rPr>
                <w:color w:val="auto"/>
                <w:spacing w:val="-8"/>
                <w:lang w:eastAsia="zh-CN"/>
              </w:rPr>
              <w:t>非产妇出院患</w:t>
            </w:r>
            <w:r>
              <w:rPr>
                <w:color w:val="auto"/>
                <w:spacing w:val="4"/>
                <w:lang w:eastAsia="zh-CN"/>
              </w:rPr>
              <w:t>者</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1" w:right="13"/>
              <w:rPr>
                <w:color w:val="auto"/>
                <w:lang w:eastAsia="zh-CN"/>
              </w:rPr>
            </w:pPr>
            <w:r>
              <w:rPr>
                <w:color w:val="auto"/>
                <w:spacing w:val="16"/>
                <w:lang w:eastAsia="zh-CN"/>
              </w:rPr>
              <w:t>年度内对烧伤出院患者在治疗前使用合</w:t>
            </w:r>
            <w:r>
              <w:rPr>
                <w:color w:val="auto"/>
                <w:spacing w:val="9"/>
                <w:lang w:eastAsia="zh-CN"/>
              </w:rPr>
              <w:t>适的评定量表开展功能评估的统计</w:t>
            </w:r>
          </w:p>
        </w:tc>
        <w:tc>
          <w:tcPr>
            <w:tcW w:w="3176" w:type="dxa"/>
          </w:tcPr>
          <w:p>
            <w:pPr>
              <w:pStyle w:val="8"/>
              <w:spacing w:before="0" w:line="240" w:lineRule="exact"/>
              <w:ind w:left="25" w:right="9" w:hanging="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年度内烧伤出院患者治疗前完成功</w:t>
            </w:r>
            <w:r>
              <w:rPr>
                <w:color w:val="auto"/>
                <w:spacing w:val="14"/>
                <w:lang w:eastAsia="zh-CN"/>
              </w:rPr>
              <w:t>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w:t>
            </w:r>
            <w:r>
              <w:rPr>
                <w:color w:val="auto"/>
                <w:lang w:eastAsia="zh-CN"/>
              </w:rPr>
              <w:t>数</w:t>
            </w:r>
            <w:r>
              <w:rPr>
                <w:rFonts w:ascii="Times New Roman" w:hAnsi="Times New Roman" w:eastAsia="Times New Roman" w:cs="Times New Roman"/>
                <w:color w:val="auto"/>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continue"/>
            <w:tcBorders>
              <w:top w:val="nil"/>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0" w:right="11" w:firstLine="1"/>
              <w:jc w:val="both"/>
              <w:rPr>
                <w:color w:val="auto"/>
                <w:lang w:eastAsia="zh-CN"/>
              </w:rPr>
            </w:pPr>
            <w:r>
              <w:rPr>
                <w:color w:val="auto"/>
                <w:spacing w:val="16"/>
                <w:lang w:eastAsia="zh-CN"/>
              </w:rPr>
              <w:t>年度内烧伤出院患者在住院期内的风险</w:t>
            </w:r>
            <w:r>
              <w:rPr>
                <w:color w:val="auto"/>
                <w:spacing w:val="4"/>
                <w:lang w:eastAsia="zh-CN"/>
              </w:rPr>
              <w:t>事件评估比例，主要包括自杀、压疮、窒息、感染、坠床、深静脉血栓、骨质疏松所致骨折、肾积水、肾功能不全、摔倒等</w:t>
            </w:r>
            <w:r>
              <w:rPr>
                <w:color w:val="auto"/>
                <w:spacing w:val="7"/>
                <w:lang w:eastAsia="zh-CN"/>
              </w:rPr>
              <w:t>风险事件</w:t>
            </w:r>
          </w:p>
        </w:tc>
        <w:tc>
          <w:tcPr>
            <w:tcW w:w="3176" w:type="dxa"/>
          </w:tcPr>
          <w:p>
            <w:pPr>
              <w:pStyle w:val="8"/>
              <w:spacing w:before="0" w:line="240" w:lineRule="exact"/>
              <w:ind w:left="16" w:right="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年度内烧伤出院患者风险事件评估</w:t>
            </w:r>
            <w:r>
              <w:rPr>
                <w:color w:val="auto"/>
                <w:spacing w:val="-6"/>
                <w:lang w:eastAsia="zh-CN"/>
              </w:rPr>
              <w:t>例数</w:t>
            </w:r>
            <w:r>
              <w:rPr>
                <w:rFonts w:ascii="Times New Roman" w:hAnsi="Times New Roman" w:eastAsia="Times New Roman" w:cs="Times New Roman"/>
                <w:color w:val="auto"/>
                <w:spacing w:val="-6"/>
                <w:lang w:eastAsia="zh-CN"/>
              </w:rPr>
              <w:t>/</w:t>
            </w:r>
            <w:r>
              <w:rPr>
                <w:color w:val="auto"/>
                <w:spacing w:val="-6"/>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425"/>
              <w:rPr>
                <w:color w:val="auto"/>
              </w:rPr>
            </w:pPr>
            <w:r>
              <w:rPr>
                <w:color w:val="auto"/>
              </w:rPr>
              <w:t>天</w:t>
            </w:r>
          </w:p>
        </w:tc>
        <w:tc>
          <w:tcPr>
            <w:tcW w:w="3544" w:type="dxa"/>
          </w:tcPr>
          <w:p>
            <w:pPr>
              <w:pStyle w:val="8"/>
              <w:spacing w:before="0" w:line="240" w:lineRule="exact"/>
              <w:ind w:left="21"/>
              <w:rPr>
                <w:color w:val="auto"/>
                <w:lang w:eastAsia="zh-CN"/>
              </w:rPr>
            </w:pPr>
            <w:r>
              <w:rPr>
                <w:color w:val="auto"/>
                <w:spacing w:val="9"/>
                <w:lang w:eastAsia="zh-CN"/>
              </w:rPr>
              <w:t>年度内烧伤出院患者的平均住院时间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1" w:right="11"/>
              <w:rPr>
                <w:color w:val="auto"/>
                <w:lang w:eastAsia="zh-CN"/>
              </w:rPr>
            </w:pPr>
            <w:r>
              <w:rPr>
                <w:color w:val="auto"/>
                <w:spacing w:val="16"/>
                <w:lang w:eastAsia="zh-CN"/>
              </w:rPr>
              <w:t>年度内烧伤出院患者的平均住院费用增</w:t>
            </w:r>
            <w:r>
              <w:rPr>
                <w:color w:val="auto"/>
                <w:spacing w:val="6"/>
                <w:lang w:eastAsia="zh-CN"/>
              </w:rPr>
              <w:t>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31" w:right="13" w:hanging="14"/>
              <w:rPr>
                <w:color w:val="auto"/>
                <w:lang w:eastAsia="zh-CN"/>
              </w:rPr>
            </w:pPr>
            <w:r>
              <w:rPr>
                <w:color w:val="auto"/>
                <w:spacing w:val="4"/>
                <w:lang w:eastAsia="zh-CN"/>
              </w:rPr>
              <w:t>使用合适的评定量表，对年度内烧伤出院</w:t>
            </w:r>
            <w:r>
              <w:rPr>
                <w:color w:val="auto"/>
                <w:spacing w:val="8"/>
                <w:lang w:eastAsia="zh-CN"/>
              </w:rPr>
              <w:t>患者开展康复疗效评价的比例</w:t>
            </w:r>
          </w:p>
        </w:tc>
        <w:tc>
          <w:tcPr>
            <w:tcW w:w="3176" w:type="dxa"/>
          </w:tcPr>
          <w:p>
            <w:pPr>
              <w:pStyle w:val="8"/>
              <w:spacing w:before="0" w:line="240" w:lineRule="exact"/>
              <w:ind w:left="16" w:right="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年度内烧伤出院患者开展疗效评价</w:t>
            </w:r>
            <w:r>
              <w:rPr>
                <w:color w:val="auto"/>
                <w:spacing w:val="-6"/>
                <w:lang w:eastAsia="zh-CN"/>
              </w:rPr>
              <w:t>例数</w:t>
            </w:r>
            <w:r>
              <w:rPr>
                <w:rFonts w:ascii="Times New Roman" w:hAnsi="Times New Roman" w:eastAsia="Times New Roman" w:cs="Times New Roman"/>
                <w:color w:val="auto"/>
                <w:spacing w:val="-6"/>
                <w:lang w:eastAsia="zh-CN"/>
              </w:rPr>
              <w:t>/</w:t>
            </w:r>
            <w:r>
              <w:rPr>
                <w:color w:val="auto"/>
                <w:spacing w:val="-6"/>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bl>
    <w:p>
      <w:pPr>
        <w:spacing w:line="182" w:lineRule="exact"/>
        <w:rPr>
          <w:color w:val="auto"/>
          <w:sz w:val="15"/>
        </w:rPr>
      </w:pPr>
    </w:p>
    <w:p>
      <w:pPr>
        <w:spacing w:line="182" w:lineRule="exact"/>
        <w:rPr>
          <w:color w:val="auto"/>
          <w:sz w:val="15"/>
          <w:szCs w:val="15"/>
        </w:rPr>
        <w:sectPr>
          <w:footerReference r:id="rId59" w:type="default"/>
          <w:pgSz w:w="16839" w:h="11906"/>
          <w:pgMar w:top="1012" w:right="118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5"/>
              <w:rPr>
                <w:color w:val="auto"/>
                <w:lang w:eastAsia="zh-CN"/>
              </w:rPr>
            </w:pPr>
            <w:r>
              <w:rPr>
                <w:color w:val="auto"/>
                <w:spacing w:val="7"/>
                <w:lang w:eastAsia="zh-CN"/>
              </w:rPr>
              <w:t>七、周围神经损</w:t>
            </w:r>
            <w:r>
              <w:rPr>
                <w:color w:val="auto"/>
                <w:lang w:eastAsia="zh-CN"/>
              </w:rPr>
              <w:t>伤</w:t>
            </w:r>
          </w:p>
          <w:p>
            <w:pPr>
              <w:pStyle w:val="8"/>
              <w:spacing w:before="0" w:line="240" w:lineRule="exact"/>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lang w:eastAsia="zh-CN"/>
              </w:rPr>
              <w:t>S14.4</w:t>
            </w:r>
            <w:r>
              <w:rPr>
                <w:color w:val="auto"/>
                <w:lang w:eastAsia="zh-CN"/>
              </w:rPr>
              <w:t>、</w:t>
            </w:r>
            <w:r>
              <w:rPr>
                <w:rFonts w:ascii="Times New Roman" w:hAnsi="Times New Roman" w:eastAsia="Times New Roman" w:cs="Times New Roman"/>
                <w:color w:val="auto"/>
                <w:lang w:eastAsia="zh-CN"/>
              </w:rPr>
              <w:t>S24.3</w:t>
            </w:r>
            <w:r>
              <w:rPr>
                <w:color w:val="auto"/>
                <w:lang w:eastAsia="zh-CN"/>
              </w:rPr>
              <w:t>、</w:t>
            </w:r>
          </w:p>
          <w:p>
            <w:pPr>
              <w:pStyle w:val="8"/>
              <w:spacing w:before="0" w:line="240" w:lineRule="exact"/>
              <w:ind w:left="21" w:right="15" w:firstLine="5"/>
              <w:rPr>
                <w:color w:val="auto"/>
                <w:lang w:eastAsia="zh-CN"/>
              </w:rPr>
            </w:pPr>
            <w:r>
              <w:rPr>
                <w:rFonts w:ascii="Times New Roman" w:hAnsi="Times New Roman" w:eastAsia="Times New Roman" w:cs="Times New Roman"/>
                <w:color w:val="auto"/>
                <w:spacing w:val="-2"/>
                <w:lang w:eastAsia="zh-CN"/>
              </w:rPr>
              <w:t>S34.6</w:t>
            </w:r>
            <w:r>
              <w:rPr>
                <w:color w:val="auto"/>
                <w:spacing w:val="-2"/>
                <w:lang w:eastAsia="zh-CN"/>
              </w:rPr>
              <w:t>、</w:t>
            </w:r>
            <w:r>
              <w:rPr>
                <w:rFonts w:ascii="Times New Roman" w:hAnsi="Times New Roman" w:eastAsia="Times New Roman" w:cs="Times New Roman"/>
                <w:color w:val="auto"/>
                <w:spacing w:val="-2"/>
                <w:lang w:eastAsia="zh-CN"/>
              </w:rPr>
              <w:t>T06.1</w:t>
            </w:r>
            <w:r>
              <w:rPr>
                <w:color w:val="auto"/>
                <w:spacing w:val="-2"/>
                <w:lang w:eastAsia="zh-CN"/>
              </w:rPr>
              <w:t>的</w:t>
            </w:r>
            <w:r>
              <w:rPr>
                <w:color w:val="auto"/>
                <w:spacing w:val="40"/>
                <w:lang w:eastAsia="zh-CN"/>
              </w:rPr>
              <w:t>周围神经损伤</w:t>
            </w:r>
            <w:r>
              <w:rPr>
                <w:color w:val="auto"/>
                <w:spacing w:val="-8"/>
                <w:lang w:eastAsia="zh-CN"/>
              </w:rPr>
              <w:t>的非产妇出院</w:t>
            </w:r>
            <w:r>
              <w:rPr>
                <w:color w:val="auto"/>
                <w:spacing w:val="5"/>
                <w:lang w:eastAsia="zh-CN"/>
              </w:rPr>
              <w:t>患者</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3" w:right="13" w:hanging="2"/>
              <w:jc w:val="both"/>
              <w:rPr>
                <w:color w:val="auto"/>
                <w:lang w:eastAsia="zh-CN"/>
              </w:rPr>
            </w:pPr>
            <w:r>
              <w:rPr>
                <w:color w:val="auto"/>
                <w:spacing w:val="16"/>
                <w:lang w:eastAsia="zh-CN"/>
              </w:rPr>
              <w:t>年度内对周围神经损伤出院患者在治疗</w:t>
            </w:r>
            <w:r>
              <w:rPr>
                <w:color w:val="auto"/>
                <w:spacing w:val="15"/>
                <w:lang w:eastAsia="zh-CN"/>
              </w:rPr>
              <w:t>前使用合适的评定量表开展功能评估的</w:t>
            </w:r>
            <w:r>
              <w:rPr>
                <w:color w:val="auto"/>
                <w:spacing w:val="2"/>
                <w:lang w:eastAsia="zh-CN"/>
              </w:rPr>
              <w:t>统计</w:t>
            </w:r>
          </w:p>
        </w:tc>
        <w:tc>
          <w:tcPr>
            <w:tcW w:w="3176" w:type="dxa"/>
          </w:tcPr>
          <w:p>
            <w:pPr>
              <w:pStyle w:val="8"/>
              <w:spacing w:before="0" w:line="240" w:lineRule="exact"/>
              <w:ind w:left="25" w:right="9" w:hanging="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年度内周围神经损伤出院患者治疗</w:t>
            </w:r>
            <w:r>
              <w:rPr>
                <w:color w:val="auto"/>
                <w:spacing w:val="14"/>
                <w:lang w:eastAsia="zh-CN"/>
              </w:rPr>
              <w:t>前完成功能评估例数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w:t>
            </w:r>
            <w:r>
              <w:rPr>
                <w:color w:val="auto"/>
                <w:spacing w:val="4"/>
                <w:lang w:eastAsia="zh-CN"/>
              </w:rPr>
              <w:t>院患者总数</w:t>
            </w:r>
            <w:r>
              <w:rPr>
                <w:rFonts w:ascii="Times New Roman" w:hAnsi="Times New Roman" w:eastAsia="Times New Roman" w:cs="Times New Roman"/>
                <w:color w:val="auto"/>
                <w:spacing w:val="4"/>
                <w:lang w:eastAsia="zh-CN"/>
              </w:rPr>
              <w:t>×100%</w:t>
            </w:r>
          </w:p>
        </w:tc>
        <w:tc>
          <w:tcPr>
            <w:tcW w:w="1341" w:type="dxa"/>
          </w:tcPr>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continue"/>
            <w:tcBorders>
              <w:top w:val="nil"/>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7" w:firstLine="3"/>
              <w:jc w:val="both"/>
              <w:rPr>
                <w:color w:val="auto"/>
                <w:lang w:eastAsia="zh-CN"/>
              </w:rPr>
            </w:pPr>
            <w:r>
              <w:rPr>
                <w:color w:val="auto"/>
                <w:spacing w:val="13"/>
                <w:lang w:eastAsia="zh-CN"/>
              </w:rPr>
              <w:t>年度内周围神经损伤出院患者在住院期</w:t>
            </w:r>
            <w:r>
              <w:rPr>
                <w:color w:val="auto"/>
                <w:spacing w:val="5"/>
                <w:lang w:eastAsia="zh-CN"/>
              </w:rPr>
              <w:t>内的风险事件评估比例，主要包括自杀、压疮、窒息、感染、坠床、深静脉血栓、</w:t>
            </w:r>
            <w:r>
              <w:rPr>
                <w:color w:val="auto"/>
                <w:spacing w:val="-5"/>
                <w:lang w:eastAsia="zh-CN"/>
              </w:rPr>
              <w:t>骨质疏松所致骨折、肾积水、肾功能不全、</w:t>
            </w:r>
            <w:r>
              <w:rPr>
                <w:color w:val="auto"/>
                <w:spacing w:val="6"/>
                <w:lang w:eastAsia="zh-CN"/>
              </w:rPr>
              <w:t>摔倒等风险事件</w:t>
            </w:r>
          </w:p>
        </w:tc>
        <w:tc>
          <w:tcPr>
            <w:tcW w:w="3176" w:type="dxa"/>
          </w:tcPr>
          <w:p>
            <w:pPr>
              <w:pStyle w:val="8"/>
              <w:spacing w:before="0" w:line="240" w:lineRule="exact"/>
              <w:ind w:left="26" w:right="9" w:hanging="10"/>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年度内周围神经损伤出院患者风险</w:t>
            </w:r>
            <w:r>
              <w:rPr>
                <w:color w:val="auto"/>
                <w:spacing w:val="14"/>
                <w:lang w:eastAsia="zh-CN"/>
              </w:rPr>
              <w:t>事件评估例数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w:t>
            </w:r>
            <w:r>
              <w:rPr>
                <w:color w:val="auto"/>
                <w:spacing w:val="1"/>
                <w:lang w:eastAsia="zh-CN"/>
              </w:rPr>
              <w:t>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425"/>
              <w:rPr>
                <w:color w:val="auto"/>
              </w:rPr>
            </w:pPr>
            <w:r>
              <w:rPr>
                <w:color w:val="auto"/>
              </w:rPr>
              <w:t>天</w:t>
            </w:r>
          </w:p>
        </w:tc>
        <w:tc>
          <w:tcPr>
            <w:tcW w:w="3544" w:type="dxa"/>
          </w:tcPr>
          <w:p>
            <w:pPr>
              <w:pStyle w:val="8"/>
              <w:spacing w:before="0" w:line="240" w:lineRule="exact"/>
              <w:ind w:left="32" w:right="13" w:hanging="11"/>
              <w:rPr>
                <w:color w:val="auto"/>
                <w:lang w:eastAsia="zh-CN"/>
              </w:rPr>
            </w:pPr>
            <w:r>
              <w:rPr>
                <w:color w:val="auto"/>
                <w:spacing w:val="16"/>
                <w:lang w:eastAsia="zh-CN"/>
              </w:rPr>
              <w:t>年度内周围神经损伤出院患者的平均住</w:t>
            </w:r>
            <w:r>
              <w:rPr>
                <w:color w:val="auto"/>
                <w:spacing w:val="2"/>
                <w:lang w:eastAsia="zh-CN"/>
              </w:rPr>
              <w:t>院时间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32" w:right="13" w:hanging="11"/>
              <w:rPr>
                <w:color w:val="auto"/>
                <w:lang w:eastAsia="zh-CN"/>
              </w:rPr>
            </w:pPr>
            <w:r>
              <w:rPr>
                <w:color w:val="auto"/>
                <w:spacing w:val="16"/>
                <w:lang w:eastAsia="zh-CN"/>
              </w:rPr>
              <w:t>年度内周围神经损伤出院患者的平均住</w:t>
            </w:r>
            <w:r>
              <w:rPr>
                <w:color w:val="auto"/>
                <w:spacing w:val="6"/>
                <w:lang w:eastAsia="zh-CN"/>
              </w:rPr>
              <w:t>院费用增长幅度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3" w:right="15" w:hanging="8"/>
              <w:rPr>
                <w:color w:val="auto"/>
                <w:lang w:eastAsia="zh-CN"/>
              </w:rPr>
            </w:pPr>
            <w:r>
              <w:rPr>
                <w:color w:val="auto"/>
                <w:spacing w:val="6"/>
                <w:lang w:eastAsia="zh-CN"/>
              </w:rPr>
              <w:t>（五）开展住院康复疗效评价率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4" w:right="11" w:hanging="7"/>
              <w:rPr>
                <w:color w:val="auto"/>
                <w:lang w:eastAsia="zh-CN"/>
              </w:rPr>
            </w:pPr>
            <w:r>
              <w:rPr>
                <w:color w:val="auto"/>
                <w:spacing w:val="5"/>
                <w:lang w:eastAsia="zh-CN"/>
              </w:rPr>
              <w:t>使用合适的评定量表，对年度内周围神经</w:t>
            </w:r>
            <w:r>
              <w:rPr>
                <w:color w:val="auto"/>
                <w:spacing w:val="9"/>
                <w:lang w:eastAsia="zh-CN"/>
              </w:rPr>
              <w:t>损伤出院患者开展康复疗效评价的比例</w:t>
            </w:r>
          </w:p>
        </w:tc>
        <w:tc>
          <w:tcPr>
            <w:tcW w:w="3176" w:type="dxa"/>
          </w:tcPr>
          <w:p>
            <w:pPr>
              <w:pStyle w:val="8"/>
              <w:spacing w:before="0" w:line="240" w:lineRule="exact"/>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年度内周围神经损伤出院患者开展</w:t>
            </w:r>
            <w:r>
              <w:rPr>
                <w:color w:val="auto"/>
                <w:spacing w:val="14"/>
                <w:lang w:eastAsia="zh-CN"/>
              </w:rPr>
              <w:t>疗效评价例数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w:t>
            </w:r>
            <w:r>
              <w:rPr>
                <w:color w:val="auto"/>
                <w:spacing w:val="2"/>
                <w:lang w:eastAsia="zh-CN"/>
              </w:rPr>
              <w:t>总数</w:t>
            </w:r>
            <w:r>
              <w:rPr>
                <w:rFonts w:ascii="Times New Roman" w:hAnsi="Times New Roman" w:eastAsia="Times New Roman" w:cs="Times New Roman"/>
                <w:color w:val="auto"/>
                <w:spacing w:val="2"/>
                <w:lang w:eastAsia="zh-CN"/>
              </w:rPr>
              <w:t>×100%</w:t>
            </w:r>
          </w:p>
        </w:tc>
        <w:tc>
          <w:tcPr>
            <w:tcW w:w="1341" w:type="dxa"/>
          </w:tcPr>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restart"/>
            <w:tcBorders>
              <w:bottom w:val="nil"/>
            </w:tcBorders>
          </w:tcPr>
          <w:p>
            <w:pPr>
              <w:spacing w:line="240" w:lineRule="exact"/>
              <w:rPr>
                <w:color w:val="auto"/>
                <w:lang w:eastAsia="zh-CN"/>
              </w:rPr>
            </w:pPr>
          </w:p>
          <w:p>
            <w:pPr>
              <w:spacing w:line="240" w:lineRule="exact"/>
              <w:rPr>
                <w:color w:val="auto"/>
                <w:lang w:eastAsia="zh-CN"/>
              </w:rPr>
            </w:pPr>
          </w:p>
          <w:p>
            <w:pPr>
              <w:spacing w:line="240" w:lineRule="exact"/>
              <w:rPr>
                <w:color w:val="auto"/>
                <w:lang w:eastAsia="zh-CN"/>
              </w:rPr>
            </w:pPr>
          </w:p>
          <w:p>
            <w:pPr>
              <w:pStyle w:val="8"/>
              <w:spacing w:before="0" w:line="240" w:lineRule="exact"/>
              <w:ind w:left="26" w:right="15"/>
              <w:rPr>
                <w:color w:val="auto"/>
                <w:lang w:eastAsia="zh-CN"/>
              </w:rPr>
            </w:pPr>
            <w:r>
              <w:rPr>
                <w:color w:val="auto"/>
                <w:spacing w:val="7"/>
                <w:lang w:eastAsia="zh-CN"/>
              </w:rPr>
              <w:t>八、缺氧性脑损</w:t>
            </w:r>
            <w:r>
              <w:rPr>
                <w:color w:val="auto"/>
                <w:lang w:eastAsia="zh-CN"/>
              </w:rPr>
              <w:t>害</w:t>
            </w:r>
          </w:p>
          <w:p>
            <w:pPr>
              <w:pStyle w:val="8"/>
              <w:spacing w:before="0" w:line="240" w:lineRule="exact"/>
              <w:ind w:left="19" w:right="15" w:firstLine="11"/>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3"/>
                <w:lang w:eastAsia="zh-CN"/>
              </w:rPr>
              <w:t>G80.0</w:t>
            </w:r>
            <w:r>
              <w:rPr>
                <w:color w:val="auto"/>
                <w:spacing w:val="3"/>
                <w:lang w:eastAsia="zh-CN"/>
              </w:rPr>
              <w:t>－</w:t>
            </w:r>
            <w:r>
              <w:rPr>
                <w:rFonts w:ascii="Times New Roman" w:hAnsi="Times New Roman" w:eastAsia="Times New Roman" w:cs="Times New Roman"/>
                <w:color w:val="auto"/>
                <w:spacing w:val="3"/>
                <w:lang w:eastAsia="zh-CN"/>
              </w:rPr>
              <w:t>G80.9</w:t>
            </w:r>
            <w:r>
              <w:rPr>
                <w:color w:val="auto"/>
                <w:spacing w:val="3"/>
                <w:lang w:eastAsia="zh-CN"/>
              </w:rPr>
              <w:t>、</w:t>
            </w:r>
            <w:r>
              <w:rPr>
                <w:rFonts w:ascii="Times New Roman" w:hAnsi="Times New Roman" w:eastAsia="Times New Roman" w:cs="Times New Roman"/>
                <w:color w:val="auto"/>
                <w:spacing w:val="1"/>
                <w:lang w:eastAsia="zh-CN"/>
              </w:rPr>
              <w:t>G93.1</w:t>
            </w:r>
            <w:r>
              <w:rPr>
                <w:color w:val="auto"/>
                <w:spacing w:val="1"/>
                <w:lang w:eastAsia="zh-CN"/>
              </w:rPr>
              <w:t>的脑瘫、</w:t>
            </w:r>
            <w:r>
              <w:rPr>
                <w:color w:val="auto"/>
                <w:spacing w:val="41"/>
                <w:lang w:eastAsia="zh-CN"/>
              </w:rPr>
              <w:t>缺氧缺血性脑</w:t>
            </w:r>
            <w:r>
              <w:rPr>
                <w:color w:val="auto"/>
                <w:spacing w:val="8"/>
                <w:lang w:eastAsia="zh-CN"/>
              </w:rPr>
              <w:t>病的非产妇、非</w:t>
            </w:r>
            <w:r>
              <w:rPr>
                <w:color w:val="auto"/>
                <w:spacing w:val="-9"/>
                <w:lang w:eastAsia="zh-CN"/>
              </w:rPr>
              <w:t>新生儿出院患</w:t>
            </w:r>
            <w:r>
              <w:rPr>
                <w:color w:val="auto"/>
                <w:spacing w:val="4"/>
                <w:lang w:eastAsia="zh-CN"/>
              </w:rPr>
              <w:t>者</w:t>
            </w:r>
          </w:p>
        </w:tc>
        <w:tc>
          <w:tcPr>
            <w:tcW w:w="2004" w:type="dxa"/>
          </w:tcPr>
          <w:p>
            <w:pPr>
              <w:pStyle w:val="8"/>
              <w:spacing w:before="0" w:line="240" w:lineRule="exact"/>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23" w:right="13" w:hanging="2"/>
              <w:jc w:val="both"/>
              <w:rPr>
                <w:color w:val="auto"/>
                <w:lang w:eastAsia="zh-CN"/>
              </w:rPr>
            </w:pPr>
            <w:r>
              <w:rPr>
                <w:color w:val="auto"/>
                <w:spacing w:val="16"/>
                <w:lang w:eastAsia="zh-CN"/>
              </w:rPr>
              <w:t>年度内对缺氧性脑损害出院患者在治疗</w:t>
            </w:r>
            <w:r>
              <w:rPr>
                <w:color w:val="auto"/>
                <w:spacing w:val="15"/>
                <w:lang w:eastAsia="zh-CN"/>
              </w:rPr>
              <w:t>前使用合适的评定量表开展功能评估的</w:t>
            </w:r>
            <w:r>
              <w:rPr>
                <w:color w:val="auto"/>
                <w:spacing w:val="2"/>
                <w:lang w:eastAsia="zh-CN"/>
              </w:rPr>
              <w:t>统计</w:t>
            </w:r>
          </w:p>
        </w:tc>
        <w:tc>
          <w:tcPr>
            <w:tcW w:w="3176" w:type="dxa"/>
          </w:tcPr>
          <w:p>
            <w:pPr>
              <w:pStyle w:val="8"/>
              <w:spacing w:before="0" w:line="240" w:lineRule="exact"/>
              <w:ind w:left="25" w:right="9" w:hanging="9"/>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年度内缺氧性脑损害出院患者治疗</w:t>
            </w:r>
            <w:r>
              <w:rPr>
                <w:color w:val="auto"/>
                <w:spacing w:val="14"/>
                <w:lang w:eastAsia="zh-CN"/>
              </w:rPr>
              <w:t>前完成功能评估例数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w:t>
            </w:r>
            <w:r>
              <w:rPr>
                <w:color w:val="auto"/>
                <w:spacing w:val="4"/>
                <w:lang w:eastAsia="zh-CN"/>
              </w:rPr>
              <w:t>院患者总数</w:t>
            </w:r>
            <w:r>
              <w:rPr>
                <w:rFonts w:ascii="Times New Roman" w:hAnsi="Times New Roman" w:eastAsia="Times New Roman" w:cs="Times New Roman"/>
                <w:color w:val="auto"/>
                <w:spacing w:val="4"/>
                <w:lang w:eastAsia="zh-CN"/>
              </w:rPr>
              <w:t>×100%</w:t>
            </w:r>
          </w:p>
        </w:tc>
        <w:tc>
          <w:tcPr>
            <w:tcW w:w="1341" w:type="dxa"/>
          </w:tcPr>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continue"/>
            <w:tcBorders>
              <w:top w:val="nil"/>
              <w:bottom w:val="nil"/>
            </w:tcBorders>
          </w:tcPr>
          <w:p>
            <w:pPr>
              <w:spacing w:line="240" w:lineRule="exact"/>
              <w:rPr>
                <w:color w:val="auto"/>
              </w:rPr>
            </w:pPr>
          </w:p>
        </w:tc>
        <w:tc>
          <w:tcPr>
            <w:tcW w:w="2004" w:type="dxa"/>
          </w:tcPr>
          <w:p>
            <w:pPr>
              <w:spacing w:line="240" w:lineRule="exact"/>
              <w:rPr>
                <w:color w:val="auto"/>
                <w:lang w:eastAsia="zh-CN"/>
              </w:rPr>
            </w:pPr>
          </w:p>
          <w:p>
            <w:pPr>
              <w:pStyle w:val="8"/>
              <w:spacing w:before="0" w:line="240" w:lineRule="exact"/>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17" w:firstLine="3"/>
              <w:jc w:val="both"/>
              <w:rPr>
                <w:color w:val="auto"/>
                <w:lang w:eastAsia="zh-CN"/>
              </w:rPr>
            </w:pPr>
            <w:r>
              <w:rPr>
                <w:color w:val="auto"/>
                <w:spacing w:val="13"/>
                <w:lang w:eastAsia="zh-CN"/>
              </w:rPr>
              <w:t>年度内缺氧性脑损害出院患者在住院期</w:t>
            </w:r>
            <w:r>
              <w:rPr>
                <w:color w:val="auto"/>
                <w:spacing w:val="5"/>
                <w:lang w:eastAsia="zh-CN"/>
              </w:rPr>
              <w:t>内的风险事件评估比例，主要包括自杀、压疮、窒息、感染、坠床、深静脉血栓、</w:t>
            </w:r>
            <w:r>
              <w:rPr>
                <w:color w:val="auto"/>
                <w:spacing w:val="-5"/>
                <w:lang w:eastAsia="zh-CN"/>
              </w:rPr>
              <w:t>骨质疏松所致骨折、肾积水、肾功能不全、</w:t>
            </w:r>
            <w:r>
              <w:rPr>
                <w:color w:val="auto"/>
                <w:spacing w:val="6"/>
                <w:lang w:eastAsia="zh-CN"/>
              </w:rPr>
              <w:t>摔倒等风险事件</w:t>
            </w:r>
          </w:p>
        </w:tc>
        <w:tc>
          <w:tcPr>
            <w:tcW w:w="3176" w:type="dxa"/>
          </w:tcPr>
          <w:p>
            <w:pPr>
              <w:pStyle w:val="8"/>
              <w:spacing w:before="0" w:line="240" w:lineRule="exact"/>
              <w:ind w:left="26" w:right="9" w:hanging="10"/>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年度内缺氧性脑损害出院患者风险</w:t>
            </w:r>
            <w:r>
              <w:rPr>
                <w:color w:val="auto"/>
                <w:spacing w:val="14"/>
                <w:lang w:eastAsia="zh-CN"/>
              </w:rPr>
              <w:t>事件评估例数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w:t>
            </w:r>
            <w:r>
              <w:rPr>
                <w:color w:val="auto"/>
                <w:spacing w:val="1"/>
                <w:lang w:eastAsia="zh-CN"/>
              </w:rPr>
              <w:t>总数</w:t>
            </w:r>
            <w:r>
              <w:rPr>
                <w:rFonts w:ascii="Times New Roman" w:hAnsi="Times New Roman" w:eastAsia="Times New Roman" w:cs="Times New Roman"/>
                <w:color w:val="auto"/>
                <w:spacing w:val="1"/>
                <w:lang w:eastAsia="zh-CN"/>
              </w:rPr>
              <w:t>×100%</w:t>
            </w:r>
          </w:p>
        </w:tc>
        <w:tc>
          <w:tcPr>
            <w:tcW w:w="1341" w:type="dxa"/>
          </w:tcPr>
          <w:p>
            <w:pPr>
              <w:spacing w:line="240" w:lineRule="exact"/>
              <w:rPr>
                <w:color w:val="auto"/>
                <w:lang w:eastAsia="zh-CN"/>
              </w:rPr>
            </w:pPr>
          </w:p>
          <w:p>
            <w:pPr>
              <w:pStyle w:val="8"/>
              <w:spacing w:before="0" w:line="240" w:lineRule="exact"/>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spacing w:line="240" w:lineRule="exact"/>
              <w:rPr>
                <w:color w:val="auto"/>
              </w:rPr>
            </w:pPr>
          </w:p>
        </w:tc>
        <w:tc>
          <w:tcPr>
            <w:tcW w:w="2004" w:type="dxa"/>
          </w:tcPr>
          <w:p>
            <w:pPr>
              <w:pStyle w:val="8"/>
              <w:spacing w:before="0" w:line="240" w:lineRule="exact"/>
              <w:ind w:left="15"/>
              <w:rPr>
                <w:color w:val="auto"/>
              </w:rPr>
            </w:pPr>
            <w:r>
              <w:rPr>
                <w:color w:val="auto"/>
                <w:spacing w:val="9"/>
              </w:rPr>
              <w:t>（三）平均住院日</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0" w:line="240" w:lineRule="exact"/>
              <w:ind w:left="425"/>
              <w:rPr>
                <w:color w:val="auto"/>
              </w:rPr>
            </w:pPr>
            <w:r>
              <w:rPr>
                <w:color w:val="auto"/>
              </w:rPr>
              <w:t>天</w:t>
            </w:r>
          </w:p>
        </w:tc>
        <w:tc>
          <w:tcPr>
            <w:tcW w:w="3544" w:type="dxa"/>
          </w:tcPr>
          <w:p>
            <w:pPr>
              <w:pStyle w:val="8"/>
              <w:spacing w:before="0" w:line="240" w:lineRule="exact"/>
              <w:ind w:left="32" w:right="13" w:hanging="11"/>
              <w:rPr>
                <w:color w:val="auto"/>
                <w:lang w:eastAsia="zh-CN"/>
              </w:rPr>
            </w:pPr>
            <w:r>
              <w:rPr>
                <w:color w:val="auto"/>
                <w:spacing w:val="16"/>
                <w:lang w:eastAsia="zh-CN"/>
              </w:rPr>
              <w:t>年度内缺氧性脑损害出院患者的平均住</w:t>
            </w:r>
            <w:r>
              <w:rPr>
                <w:color w:val="auto"/>
                <w:spacing w:val="2"/>
                <w:lang w:eastAsia="zh-CN"/>
              </w:rPr>
              <w:t>院时间</w:t>
            </w:r>
          </w:p>
        </w:tc>
        <w:tc>
          <w:tcPr>
            <w:tcW w:w="3176" w:type="dxa"/>
          </w:tcPr>
          <w:p>
            <w:pPr>
              <w:pStyle w:val="8"/>
              <w:spacing w:before="0" w:line="240" w:lineRule="exact"/>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pStyle w:val="8"/>
              <w:spacing w:before="0" w:line="240" w:lineRule="exact"/>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427" w:type="dxa"/>
            <w:vMerge w:val="continue"/>
            <w:tcBorders>
              <w:top w:val="nil"/>
            </w:tcBorders>
          </w:tcPr>
          <w:p>
            <w:pPr>
              <w:spacing w:line="240" w:lineRule="exact"/>
              <w:rPr>
                <w:color w:val="auto"/>
              </w:rPr>
            </w:pPr>
          </w:p>
        </w:tc>
        <w:tc>
          <w:tcPr>
            <w:tcW w:w="2004" w:type="dxa"/>
          </w:tcPr>
          <w:p>
            <w:pPr>
              <w:pStyle w:val="8"/>
              <w:spacing w:before="0" w:line="240" w:lineRule="exact"/>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0" w:line="240" w:lineRule="exact"/>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240" w:lineRule="exact"/>
              <w:rPr>
                <w:color w:val="auto"/>
                <w:lang w:eastAsia="zh-CN"/>
              </w:rPr>
            </w:pPr>
          </w:p>
          <w:p>
            <w:pPr>
              <w:pStyle w:val="8"/>
              <w:spacing w:before="0" w:line="240"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0" w:line="240" w:lineRule="exact"/>
              <w:ind w:left="32" w:right="13" w:hanging="11"/>
              <w:rPr>
                <w:color w:val="auto"/>
                <w:lang w:eastAsia="zh-CN"/>
              </w:rPr>
            </w:pPr>
            <w:r>
              <w:rPr>
                <w:color w:val="auto"/>
                <w:spacing w:val="16"/>
                <w:lang w:eastAsia="zh-CN"/>
              </w:rPr>
              <w:t>年度内缺氧性脑损害出院患者的平均住</w:t>
            </w:r>
            <w:r>
              <w:rPr>
                <w:color w:val="auto"/>
                <w:spacing w:val="6"/>
                <w:lang w:eastAsia="zh-CN"/>
              </w:rPr>
              <w:t>院费用增长幅度</w:t>
            </w:r>
          </w:p>
        </w:tc>
        <w:tc>
          <w:tcPr>
            <w:tcW w:w="3176" w:type="dxa"/>
          </w:tcPr>
          <w:p>
            <w:pPr>
              <w:pStyle w:val="8"/>
              <w:spacing w:before="0" w:line="240" w:lineRule="exact"/>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240" w:lineRule="exact"/>
              <w:rPr>
                <w:color w:val="auto"/>
                <w:lang w:eastAsia="zh-CN"/>
              </w:rPr>
            </w:pPr>
          </w:p>
          <w:p>
            <w:pPr>
              <w:pStyle w:val="8"/>
              <w:spacing w:before="0" w:line="240" w:lineRule="exact"/>
              <w:ind w:left="282"/>
              <w:rPr>
                <w:color w:val="auto"/>
              </w:rPr>
            </w:pPr>
            <w:r>
              <w:rPr>
                <w:color w:val="auto"/>
                <w:spacing w:val="6"/>
              </w:rPr>
              <w:t>监测比较</w:t>
            </w:r>
          </w:p>
        </w:tc>
      </w:tr>
    </w:tbl>
    <w:p>
      <w:pPr>
        <w:spacing w:line="20" w:lineRule="exact"/>
        <w:rPr>
          <w:color w:val="auto"/>
          <w:sz w:val="15"/>
        </w:rPr>
      </w:pPr>
    </w:p>
    <w:p>
      <w:pPr>
        <w:spacing w:line="20" w:lineRule="exact"/>
        <w:rPr>
          <w:color w:val="auto"/>
          <w:sz w:val="15"/>
          <w:szCs w:val="15"/>
        </w:rPr>
        <w:sectPr>
          <w:footerReference r:id="rId60" w:type="default"/>
          <w:pgSz w:w="16839" w:h="11906"/>
          <w:pgMar w:top="1012" w:right="1180" w:bottom="1439" w:left="1511" w:header="0" w:footer="1277" w:gutter="0"/>
          <w:pgNumType w:fmt="numberInDash"/>
          <w:cols w:space="720" w:num="1"/>
        </w:sect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27" w:type="dxa"/>
          </w:tcPr>
          <w:p>
            <w:pPr>
              <w:rPr>
                <w:color w:val="auto"/>
              </w:rPr>
            </w:pPr>
          </w:p>
        </w:tc>
        <w:tc>
          <w:tcPr>
            <w:tcW w:w="2004" w:type="dxa"/>
          </w:tcPr>
          <w:p>
            <w:pPr>
              <w:pStyle w:val="8"/>
              <w:spacing w:before="157" w:line="230" w:lineRule="auto"/>
              <w:ind w:left="23" w:right="15" w:hanging="8"/>
              <w:rPr>
                <w:color w:val="auto"/>
                <w:lang w:eastAsia="zh-CN"/>
              </w:rPr>
            </w:pPr>
            <w:r>
              <w:rPr>
                <w:color w:val="auto"/>
                <w:spacing w:val="6"/>
                <w:lang w:eastAsia="zh-CN"/>
              </w:rPr>
              <w:t>（五）开展住院康复疗效评价率</w:t>
            </w:r>
          </w:p>
        </w:tc>
        <w:tc>
          <w:tcPr>
            <w:tcW w:w="1408" w:type="dxa"/>
          </w:tcPr>
          <w:p>
            <w:pPr>
              <w:pStyle w:val="8"/>
              <w:spacing w:before="37" w:line="224"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48"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158" w:line="232" w:lineRule="auto"/>
              <w:ind w:left="24" w:right="11" w:hanging="7"/>
              <w:rPr>
                <w:color w:val="auto"/>
                <w:lang w:eastAsia="zh-CN"/>
              </w:rPr>
            </w:pPr>
            <w:r>
              <w:rPr>
                <w:color w:val="auto"/>
                <w:spacing w:val="5"/>
                <w:lang w:eastAsia="zh-CN"/>
              </w:rPr>
              <w:t>使用合适的评定量表，对年度内缺氧性脑</w:t>
            </w:r>
            <w:r>
              <w:rPr>
                <w:color w:val="auto"/>
                <w:spacing w:val="9"/>
                <w:lang w:eastAsia="zh-CN"/>
              </w:rPr>
              <w:t>损害出院患者开展康复疗效评价的比例</w:t>
            </w:r>
          </w:p>
        </w:tc>
        <w:tc>
          <w:tcPr>
            <w:tcW w:w="3176" w:type="dxa"/>
          </w:tcPr>
          <w:p>
            <w:pPr>
              <w:pStyle w:val="8"/>
              <w:spacing w:before="9" w:line="233" w:lineRule="auto"/>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年度内缺氧性脑损害出院患者开展</w:t>
            </w:r>
            <w:r>
              <w:rPr>
                <w:color w:val="auto"/>
                <w:spacing w:val="14"/>
                <w:lang w:eastAsia="zh-CN"/>
              </w:rPr>
              <w:t>疗效评价例数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w:t>
            </w:r>
            <w:r>
              <w:rPr>
                <w:color w:val="auto"/>
                <w:spacing w:val="2"/>
                <w:lang w:eastAsia="zh-CN"/>
              </w:rPr>
              <w:t>总数</w:t>
            </w:r>
            <w:r>
              <w:rPr>
                <w:rFonts w:ascii="Times New Roman" w:hAnsi="Times New Roman" w:eastAsia="Times New Roman" w:cs="Times New Roman"/>
                <w:color w:val="auto"/>
                <w:spacing w:val="2"/>
                <w:lang w:eastAsia="zh-CN"/>
              </w:rPr>
              <w:t>×100%</w:t>
            </w:r>
          </w:p>
        </w:tc>
        <w:tc>
          <w:tcPr>
            <w:tcW w:w="1341" w:type="dxa"/>
          </w:tcPr>
          <w:p>
            <w:pPr>
              <w:pStyle w:val="8"/>
              <w:spacing w:before="278"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restart"/>
            <w:tcBorders>
              <w:bottom w:val="nil"/>
            </w:tcBorders>
          </w:tcPr>
          <w:p>
            <w:pPr>
              <w:spacing w:line="262" w:lineRule="auto"/>
              <w:rPr>
                <w:color w:val="auto"/>
                <w:lang w:eastAsia="zh-CN"/>
              </w:rPr>
            </w:pPr>
          </w:p>
          <w:p>
            <w:pPr>
              <w:spacing w:line="263" w:lineRule="auto"/>
              <w:rPr>
                <w:color w:val="auto"/>
                <w:lang w:eastAsia="zh-CN"/>
              </w:rPr>
            </w:pPr>
          </w:p>
          <w:p>
            <w:pPr>
              <w:spacing w:line="263" w:lineRule="auto"/>
              <w:rPr>
                <w:color w:val="auto"/>
                <w:lang w:eastAsia="zh-CN"/>
              </w:rPr>
            </w:pPr>
          </w:p>
          <w:p>
            <w:pPr>
              <w:spacing w:line="263" w:lineRule="auto"/>
              <w:rPr>
                <w:color w:val="auto"/>
                <w:lang w:eastAsia="zh-CN"/>
              </w:rPr>
            </w:pPr>
          </w:p>
          <w:p>
            <w:pPr>
              <w:spacing w:line="263" w:lineRule="auto"/>
              <w:rPr>
                <w:color w:val="auto"/>
                <w:lang w:eastAsia="zh-CN"/>
              </w:rPr>
            </w:pPr>
          </w:p>
          <w:p>
            <w:pPr>
              <w:spacing w:line="263" w:lineRule="auto"/>
              <w:rPr>
                <w:color w:val="auto"/>
                <w:lang w:eastAsia="zh-CN"/>
              </w:rPr>
            </w:pPr>
          </w:p>
          <w:p>
            <w:pPr>
              <w:pStyle w:val="8"/>
              <w:spacing w:before="62" w:line="226" w:lineRule="auto"/>
              <w:ind w:left="25"/>
              <w:rPr>
                <w:color w:val="auto"/>
                <w:lang w:eastAsia="zh-CN"/>
              </w:rPr>
            </w:pPr>
            <w:r>
              <w:rPr>
                <w:color w:val="auto"/>
                <w:spacing w:val="8"/>
                <w:lang w:eastAsia="zh-CN"/>
              </w:rPr>
              <w:t>九、截肢术后</w:t>
            </w:r>
          </w:p>
          <w:p>
            <w:pPr>
              <w:pStyle w:val="8"/>
              <w:spacing w:before="8" w:line="232" w:lineRule="auto"/>
              <w:ind w:left="17" w:right="13" w:firstLine="13"/>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3"/>
                <w:lang w:eastAsia="zh-CN"/>
              </w:rPr>
              <w:t>G54.6</w:t>
            </w:r>
            <w:r>
              <w:rPr>
                <w:color w:val="auto"/>
                <w:spacing w:val="3"/>
                <w:lang w:eastAsia="zh-CN"/>
              </w:rPr>
              <w:t>－</w:t>
            </w:r>
            <w:r>
              <w:rPr>
                <w:rFonts w:ascii="Times New Roman" w:hAnsi="Times New Roman" w:eastAsia="Times New Roman" w:cs="Times New Roman"/>
                <w:color w:val="auto"/>
                <w:spacing w:val="3"/>
                <w:lang w:eastAsia="zh-CN"/>
              </w:rPr>
              <w:t>G54.7</w:t>
            </w:r>
            <w:r>
              <w:rPr>
                <w:color w:val="auto"/>
                <w:spacing w:val="3"/>
                <w:lang w:eastAsia="zh-CN"/>
              </w:rPr>
              <w:t>、</w:t>
            </w:r>
            <w:r>
              <w:rPr>
                <w:rFonts w:ascii="Times New Roman" w:hAnsi="Times New Roman" w:eastAsia="Times New Roman" w:cs="Times New Roman"/>
                <w:color w:val="auto"/>
                <w:spacing w:val="-2"/>
                <w:lang w:eastAsia="zh-CN"/>
              </w:rPr>
              <w:t>Z89.0</w:t>
            </w:r>
            <w:r>
              <w:rPr>
                <w:color w:val="auto"/>
                <w:spacing w:val="-2"/>
                <w:lang w:eastAsia="zh-CN"/>
              </w:rPr>
              <w:t>－</w:t>
            </w:r>
            <w:r>
              <w:rPr>
                <w:rFonts w:ascii="Times New Roman" w:hAnsi="Times New Roman" w:eastAsia="Times New Roman" w:cs="Times New Roman"/>
                <w:color w:val="auto"/>
                <w:spacing w:val="-2"/>
                <w:lang w:eastAsia="zh-CN"/>
              </w:rPr>
              <w:t>Z89.9</w:t>
            </w:r>
            <w:r>
              <w:rPr>
                <w:color w:val="auto"/>
                <w:spacing w:val="41"/>
                <w:lang w:eastAsia="zh-CN"/>
              </w:rPr>
              <w:t>的上肢或下肢截肢术后的非</w:t>
            </w:r>
            <w:r>
              <w:rPr>
                <w:color w:val="auto"/>
                <w:spacing w:val="9"/>
                <w:lang w:eastAsia="zh-CN"/>
              </w:rPr>
              <w:t>产妇出院患者</w:t>
            </w:r>
          </w:p>
        </w:tc>
        <w:tc>
          <w:tcPr>
            <w:tcW w:w="2004" w:type="dxa"/>
          </w:tcPr>
          <w:p>
            <w:pPr>
              <w:pStyle w:val="8"/>
              <w:spacing w:before="158" w:line="230" w:lineRule="auto"/>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38" w:line="224"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48"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157" w:line="229" w:lineRule="auto"/>
              <w:ind w:left="19" w:right="11" w:firstLine="2"/>
              <w:rPr>
                <w:color w:val="auto"/>
                <w:lang w:eastAsia="zh-CN"/>
              </w:rPr>
            </w:pPr>
            <w:r>
              <w:rPr>
                <w:color w:val="auto"/>
                <w:spacing w:val="16"/>
                <w:lang w:eastAsia="zh-CN"/>
              </w:rPr>
              <w:t>年度内对截肢术后出院患者在治疗前使</w:t>
            </w:r>
            <w:r>
              <w:rPr>
                <w:color w:val="auto"/>
                <w:spacing w:val="9"/>
                <w:lang w:eastAsia="zh-CN"/>
              </w:rPr>
              <w:t>用合适的评定量表开展功能评估的统计</w:t>
            </w:r>
          </w:p>
        </w:tc>
        <w:tc>
          <w:tcPr>
            <w:tcW w:w="3176" w:type="dxa"/>
          </w:tcPr>
          <w:p>
            <w:pPr>
              <w:pStyle w:val="8"/>
              <w:spacing w:before="7" w:line="234" w:lineRule="auto"/>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年度内截肢术后出院患者治疗前完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pStyle w:val="8"/>
              <w:spacing w:before="278"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427" w:type="dxa"/>
            <w:vMerge w:val="continue"/>
            <w:tcBorders>
              <w:top w:val="nil"/>
              <w:bottom w:val="nil"/>
            </w:tcBorders>
          </w:tcPr>
          <w:p>
            <w:pPr>
              <w:rPr>
                <w:color w:val="auto"/>
              </w:rPr>
            </w:pPr>
          </w:p>
        </w:tc>
        <w:tc>
          <w:tcPr>
            <w:tcW w:w="2004" w:type="dxa"/>
          </w:tcPr>
          <w:p>
            <w:pPr>
              <w:spacing w:line="337" w:lineRule="auto"/>
              <w:rPr>
                <w:color w:val="auto"/>
                <w:lang w:eastAsia="zh-CN"/>
              </w:rPr>
            </w:pPr>
          </w:p>
          <w:p>
            <w:pPr>
              <w:pStyle w:val="8"/>
              <w:spacing w:before="61" w:line="228" w:lineRule="auto"/>
              <w:ind w:left="15" w:right="15"/>
              <w:rPr>
                <w:color w:val="auto"/>
                <w:lang w:eastAsia="zh-CN"/>
              </w:rPr>
            </w:pPr>
            <w:r>
              <w:rPr>
                <w:color w:val="auto"/>
                <w:spacing w:val="2"/>
                <w:lang w:eastAsia="zh-CN"/>
              </w:rPr>
              <w:t>（二）住院期内风险事</w:t>
            </w:r>
            <w:r>
              <w:rPr>
                <w:color w:val="auto"/>
                <w:spacing w:val="8"/>
                <w:lang w:eastAsia="zh-CN"/>
              </w:rPr>
              <w:t>件评估比例</w:t>
            </w:r>
          </w:p>
        </w:tc>
        <w:tc>
          <w:tcPr>
            <w:tcW w:w="1408" w:type="dxa"/>
          </w:tcPr>
          <w:p>
            <w:pPr>
              <w:pStyle w:val="8"/>
              <w:spacing w:before="279" w:line="231"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425" w:lineRule="auto"/>
              <w:rPr>
                <w:color w:val="auto"/>
                <w:lang w:eastAsia="zh-CN"/>
              </w:rPr>
            </w:pPr>
          </w:p>
          <w:p>
            <w:pPr>
              <w:pStyle w:val="8"/>
              <w:spacing w:before="62"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40" w:line="227" w:lineRule="auto"/>
              <w:ind w:left="20" w:firstLine="1"/>
              <w:jc w:val="both"/>
              <w:rPr>
                <w:color w:val="auto"/>
                <w:lang w:eastAsia="zh-CN"/>
              </w:rPr>
            </w:pPr>
            <w:r>
              <w:rPr>
                <w:color w:val="auto"/>
                <w:spacing w:val="13"/>
                <w:lang w:eastAsia="zh-CN"/>
              </w:rPr>
              <w:t>年度内截肢术后出院患者在住院期内的</w:t>
            </w:r>
            <w:r>
              <w:rPr>
                <w:color w:val="auto"/>
                <w:spacing w:val="-5"/>
                <w:lang w:eastAsia="zh-CN"/>
              </w:rPr>
              <w:t>风险事件评估比例，主要包括自杀、压疮、</w:t>
            </w:r>
            <w:r>
              <w:rPr>
                <w:color w:val="auto"/>
                <w:spacing w:val="2"/>
                <w:lang w:eastAsia="zh-CN"/>
              </w:rPr>
              <w:t>窒息、感染、坠床、深静脉血栓、骨质疏松所致骨折、肾积水、肾功能不全、摔倒</w:t>
            </w:r>
            <w:r>
              <w:rPr>
                <w:color w:val="auto"/>
                <w:spacing w:val="5"/>
                <w:lang w:eastAsia="zh-CN"/>
              </w:rPr>
              <w:t>等风险事件</w:t>
            </w:r>
          </w:p>
        </w:tc>
        <w:tc>
          <w:tcPr>
            <w:tcW w:w="3176" w:type="dxa"/>
          </w:tcPr>
          <w:p>
            <w:pPr>
              <w:pStyle w:val="8"/>
              <w:spacing w:before="249" w:line="262" w:lineRule="auto"/>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年度内截肢术后出院患者风险事件</w:t>
            </w:r>
            <w:r>
              <w:rPr>
                <w:color w:val="auto"/>
                <w:spacing w:val="14"/>
                <w:lang w:eastAsia="zh-CN"/>
              </w:rPr>
              <w:t>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spacing w:line="455" w:lineRule="auto"/>
              <w:rPr>
                <w:color w:val="auto"/>
                <w:lang w:eastAsia="zh-CN"/>
              </w:rPr>
            </w:pPr>
          </w:p>
          <w:p>
            <w:pPr>
              <w:pStyle w:val="8"/>
              <w:spacing w:before="62"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bottom w:val="nil"/>
            </w:tcBorders>
          </w:tcPr>
          <w:p>
            <w:pPr>
              <w:rPr>
                <w:color w:val="auto"/>
              </w:rPr>
            </w:pPr>
          </w:p>
        </w:tc>
        <w:tc>
          <w:tcPr>
            <w:tcW w:w="2004" w:type="dxa"/>
          </w:tcPr>
          <w:p>
            <w:pPr>
              <w:pStyle w:val="8"/>
              <w:spacing w:before="280" w:line="225" w:lineRule="auto"/>
              <w:ind w:left="15"/>
              <w:rPr>
                <w:color w:val="auto"/>
              </w:rPr>
            </w:pPr>
            <w:r>
              <w:rPr>
                <w:color w:val="auto"/>
                <w:spacing w:val="9"/>
              </w:rPr>
              <w:t>（三）平均住院日</w:t>
            </w:r>
          </w:p>
        </w:tc>
        <w:tc>
          <w:tcPr>
            <w:tcW w:w="1408" w:type="dxa"/>
          </w:tcPr>
          <w:p>
            <w:pPr>
              <w:pStyle w:val="8"/>
              <w:spacing w:before="41" w:line="223"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79" w:line="229" w:lineRule="auto"/>
              <w:ind w:left="425"/>
              <w:rPr>
                <w:color w:val="auto"/>
              </w:rPr>
            </w:pPr>
            <w:r>
              <w:rPr>
                <w:color w:val="auto"/>
              </w:rPr>
              <w:t>天</w:t>
            </w:r>
          </w:p>
        </w:tc>
        <w:tc>
          <w:tcPr>
            <w:tcW w:w="3544" w:type="dxa"/>
          </w:tcPr>
          <w:p>
            <w:pPr>
              <w:pStyle w:val="8"/>
              <w:spacing w:before="159" w:line="230" w:lineRule="auto"/>
              <w:ind w:left="39" w:right="11" w:hanging="18"/>
              <w:rPr>
                <w:color w:val="auto"/>
                <w:lang w:eastAsia="zh-CN"/>
              </w:rPr>
            </w:pPr>
            <w:r>
              <w:rPr>
                <w:color w:val="auto"/>
                <w:spacing w:val="16"/>
                <w:lang w:eastAsia="zh-CN"/>
              </w:rPr>
              <w:t>年度内截肢术后出院患者的平均住院时</w:t>
            </w:r>
            <w:r>
              <w:rPr>
                <w:color w:val="auto"/>
                <w:lang w:eastAsia="zh-CN"/>
              </w:rPr>
              <w:t>间</w:t>
            </w:r>
          </w:p>
        </w:tc>
        <w:tc>
          <w:tcPr>
            <w:tcW w:w="3176" w:type="dxa"/>
          </w:tcPr>
          <w:p>
            <w:pPr>
              <w:pStyle w:val="8"/>
              <w:spacing w:before="130" w:line="243" w:lineRule="auto"/>
              <w:ind w:left="23" w:right="9" w:hanging="7"/>
              <w:rPr>
                <w:color w:val="auto"/>
                <w:lang w:eastAsia="zh-CN"/>
              </w:rPr>
            </w:pPr>
            <w:r>
              <w:rPr>
                <w:rFonts w:ascii="Times New Roman" w:hAnsi="Times New Roman" w:eastAsia="Times New Roman" w:cs="Times New Roman"/>
                <w:color w:val="auto"/>
                <w:spacing w:val="20"/>
                <w:lang w:eastAsia="zh-CN"/>
              </w:rPr>
              <w:t>=</w:t>
            </w:r>
            <w:r>
              <w:rPr>
                <w:color w:val="auto"/>
                <w:spacing w:val="20"/>
                <w:lang w:eastAsia="zh-CN"/>
              </w:rPr>
              <w:t>该病种出院患者占用总床日数</w:t>
            </w:r>
            <w:r>
              <w:rPr>
                <w:rFonts w:ascii="Times New Roman" w:hAnsi="Times New Roman" w:eastAsia="Times New Roman" w:cs="Times New Roman"/>
                <w:color w:val="auto"/>
                <w:spacing w:val="20"/>
                <w:lang w:eastAsia="zh-CN"/>
              </w:rPr>
              <w:t>/</w:t>
            </w:r>
            <w:r>
              <w:rPr>
                <w:color w:val="auto"/>
                <w:spacing w:val="20"/>
                <w:lang w:eastAsia="zh-CN"/>
              </w:rPr>
              <w:t>同</w:t>
            </w:r>
            <w:r>
              <w:rPr>
                <w:color w:val="auto"/>
                <w:spacing w:val="8"/>
                <w:lang w:eastAsia="zh-CN"/>
              </w:rPr>
              <w:t>期该病种出院患者总数</w:t>
            </w:r>
          </w:p>
        </w:tc>
        <w:tc>
          <w:tcPr>
            <w:tcW w:w="1341" w:type="dxa"/>
          </w:tcPr>
          <w:p>
            <w:pPr>
              <w:pStyle w:val="8"/>
              <w:spacing w:before="280" w:line="225" w:lineRule="auto"/>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rPr>
                <w:color w:val="auto"/>
              </w:rPr>
            </w:pPr>
          </w:p>
        </w:tc>
        <w:tc>
          <w:tcPr>
            <w:tcW w:w="2004" w:type="dxa"/>
          </w:tcPr>
          <w:p>
            <w:pPr>
              <w:pStyle w:val="8"/>
              <w:spacing w:before="280" w:line="230" w:lineRule="auto"/>
              <w:ind w:left="29" w:right="15" w:hanging="14"/>
              <w:rPr>
                <w:color w:val="auto"/>
                <w:lang w:eastAsia="zh-CN"/>
              </w:rPr>
            </w:pPr>
            <w:r>
              <w:rPr>
                <w:color w:val="auto"/>
                <w:spacing w:val="6"/>
                <w:lang w:eastAsia="zh-CN"/>
              </w:rPr>
              <w:t>（四）住院次均费用增</w:t>
            </w:r>
            <w:r>
              <w:rPr>
                <w:color w:val="auto"/>
                <w:lang w:eastAsia="zh-CN"/>
              </w:rPr>
              <w:t>幅</w:t>
            </w:r>
          </w:p>
        </w:tc>
        <w:tc>
          <w:tcPr>
            <w:tcW w:w="1408" w:type="dxa"/>
          </w:tcPr>
          <w:p>
            <w:pPr>
              <w:pStyle w:val="8"/>
              <w:spacing w:before="160" w:line="231"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307" w:lineRule="auto"/>
              <w:rPr>
                <w:color w:val="auto"/>
                <w:lang w:eastAsia="zh-CN"/>
              </w:rPr>
            </w:pPr>
          </w:p>
          <w:p>
            <w:pPr>
              <w:pStyle w:val="8"/>
              <w:spacing w:before="62"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280" w:line="230" w:lineRule="auto"/>
              <w:ind w:left="19" w:right="11" w:firstLine="2"/>
              <w:rPr>
                <w:color w:val="auto"/>
                <w:lang w:eastAsia="zh-CN"/>
              </w:rPr>
            </w:pPr>
            <w:r>
              <w:rPr>
                <w:color w:val="auto"/>
                <w:spacing w:val="16"/>
                <w:lang w:eastAsia="zh-CN"/>
              </w:rPr>
              <w:t>年度内截肢术后出院患者的平均住院费</w:t>
            </w:r>
            <w:r>
              <w:rPr>
                <w:color w:val="auto"/>
                <w:spacing w:val="8"/>
                <w:lang w:eastAsia="zh-CN"/>
              </w:rPr>
              <w:t>用增长幅度</w:t>
            </w:r>
          </w:p>
        </w:tc>
        <w:tc>
          <w:tcPr>
            <w:tcW w:w="3176" w:type="dxa"/>
          </w:tcPr>
          <w:p>
            <w:pPr>
              <w:pStyle w:val="8"/>
              <w:spacing w:before="9" w:line="233" w:lineRule="auto"/>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337" w:lineRule="auto"/>
              <w:rPr>
                <w:color w:val="auto"/>
                <w:lang w:eastAsia="zh-CN"/>
              </w:rPr>
            </w:pPr>
          </w:p>
          <w:p>
            <w:pPr>
              <w:pStyle w:val="8"/>
              <w:spacing w:before="62" w:line="225" w:lineRule="auto"/>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continue"/>
            <w:tcBorders>
              <w:top w:val="nil"/>
            </w:tcBorders>
          </w:tcPr>
          <w:p>
            <w:pPr>
              <w:rPr>
                <w:color w:val="auto"/>
              </w:rPr>
            </w:pPr>
          </w:p>
        </w:tc>
        <w:tc>
          <w:tcPr>
            <w:tcW w:w="2004" w:type="dxa"/>
          </w:tcPr>
          <w:p>
            <w:pPr>
              <w:pStyle w:val="8"/>
              <w:spacing w:before="160" w:line="230" w:lineRule="auto"/>
              <w:ind w:left="23" w:right="15" w:hanging="8"/>
              <w:rPr>
                <w:color w:val="auto"/>
                <w:lang w:eastAsia="zh-CN"/>
              </w:rPr>
            </w:pPr>
            <w:r>
              <w:rPr>
                <w:color w:val="auto"/>
                <w:spacing w:val="6"/>
                <w:lang w:eastAsia="zh-CN"/>
              </w:rPr>
              <w:t>（五）开展住院康复疗效评价率</w:t>
            </w:r>
          </w:p>
        </w:tc>
        <w:tc>
          <w:tcPr>
            <w:tcW w:w="1408" w:type="dxa"/>
          </w:tcPr>
          <w:p>
            <w:pPr>
              <w:pStyle w:val="8"/>
              <w:spacing w:before="41" w:line="223"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51"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160" w:line="230" w:lineRule="auto"/>
              <w:ind w:left="45" w:right="11" w:hanging="28"/>
              <w:rPr>
                <w:color w:val="auto"/>
                <w:lang w:eastAsia="zh-CN"/>
              </w:rPr>
            </w:pPr>
            <w:r>
              <w:rPr>
                <w:color w:val="auto"/>
                <w:spacing w:val="5"/>
                <w:lang w:eastAsia="zh-CN"/>
              </w:rPr>
              <w:t>使用合适的评定量表，对年度内截肢术后</w:t>
            </w:r>
            <w:r>
              <w:rPr>
                <w:color w:val="auto"/>
                <w:spacing w:val="7"/>
                <w:lang w:eastAsia="zh-CN"/>
              </w:rPr>
              <w:t>出院患者开展康复疗效评价的比例</w:t>
            </w:r>
          </w:p>
        </w:tc>
        <w:tc>
          <w:tcPr>
            <w:tcW w:w="3176" w:type="dxa"/>
          </w:tcPr>
          <w:p>
            <w:pPr>
              <w:pStyle w:val="8"/>
              <w:spacing w:before="11" w:line="242" w:lineRule="auto"/>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年度内截肢术后出院患者开展疗效</w:t>
            </w:r>
            <w:r>
              <w:rPr>
                <w:color w:val="auto"/>
                <w:spacing w:val="14"/>
                <w:lang w:eastAsia="zh-CN"/>
              </w:rPr>
              <w:t>评价例数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pStyle w:val="8"/>
              <w:spacing w:before="281"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27" w:type="dxa"/>
            <w:vMerge w:val="restart"/>
            <w:tcBorders>
              <w:bottom w:val="nil"/>
            </w:tcBorders>
          </w:tcPr>
          <w:p>
            <w:pPr>
              <w:rPr>
                <w:color w:val="auto"/>
                <w:lang w:eastAsia="zh-CN"/>
              </w:rPr>
            </w:pPr>
          </w:p>
          <w:p>
            <w:pPr>
              <w:rPr>
                <w:color w:val="auto"/>
                <w:lang w:eastAsia="zh-CN"/>
              </w:rPr>
            </w:pPr>
          </w:p>
          <w:p>
            <w:pPr>
              <w:spacing w:line="241" w:lineRule="auto"/>
              <w:rPr>
                <w:color w:val="auto"/>
                <w:lang w:eastAsia="zh-CN"/>
              </w:rPr>
            </w:pPr>
          </w:p>
          <w:p>
            <w:pPr>
              <w:pStyle w:val="8"/>
              <w:spacing w:before="61" w:line="224" w:lineRule="auto"/>
              <w:ind w:left="31"/>
              <w:rPr>
                <w:color w:val="auto"/>
                <w:lang w:eastAsia="zh-CN"/>
              </w:rPr>
            </w:pPr>
            <w:r>
              <w:rPr>
                <w:color w:val="auto"/>
                <w:spacing w:val="7"/>
                <w:lang w:eastAsia="zh-CN"/>
              </w:rPr>
              <w:t>十、植物状态</w:t>
            </w:r>
          </w:p>
          <w:p>
            <w:pPr>
              <w:pStyle w:val="8"/>
              <w:spacing w:before="10" w:line="227" w:lineRule="auto"/>
              <w:ind w:left="18" w:right="15" w:firstLine="12"/>
              <w:rPr>
                <w:color w:val="auto"/>
                <w:lang w:eastAsia="zh-CN"/>
              </w:rPr>
            </w:pPr>
            <w:r>
              <w:rPr>
                <w:color w:val="auto"/>
                <w:spacing w:val="-5"/>
                <w:lang w:eastAsia="zh-CN"/>
              </w:rPr>
              <w:t>主要诊断</w:t>
            </w:r>
            <w:r>
              <w:rPr>
                <w:rFonts w:ascii="Times New Roman" w:hAnsi="Times New Roman" w:eastAsia="Times New Roman" w:cs="Times New Roman"/>
                <w:color w:val="auto"/>
                <w:spacing w:val="-1"/>
                <w:lang w:eastAsia="zh-CN"/>
              </w:rPr>
              <w:t>ICD-10</w:t>
            </w:r>
            <w:r>
              <w:rPr>
                <w:color w:val="auto"/>
                <w:spacing w:val="-1"/>
                <w:lang w:eastAsia="zh-CN"/>
              </w:rPr>
              <w:t>编码：</w:t>
            </w:r>
            <w:r>
              <w:rPr>
                <w:rFonts w:ascii="Times New Roman" w:hAnsi="Times New Roman" w:eastAsia="Times New Roman" w:cs="Times New Roman"/>
                <w:color w:val="auto"/>
                <w:spacing w:val="4"/>
                <w:lang w:eastAsia="zh-CN"/>
              </w:rPr>
              <w:t>R40.0</w:t>
            </w:r>
            <w:r>
              <w:rPr>
                <w:color w:val="auto"/>
                <w:spacing w:val="4"/>
                <w:lang w:eastAsia="zh-CN"/>
              </w:rPr>
              <w:t>－</w:t>
            </w:r>
            <w:r>
              <w:rPr>
                <w:rFonts w:ascii="Times New Roman" w:hAnsi="Times New Roman" w:eastAsia="Times New Roman" w:cs="Times New Roman"/>
                <w:color w:val="auto"/>
                <w:spacing w:val="4"/>
                <w:lang w:eastAsia="zh-CN"/>
              </w:rPr>
              <w:t>R40.2</w:t>
            </w:r>
            <w:r>
              <w:rPr>
                <w:color w:val="auto"/>
                <w:spacing w:val="4"/>
                <w:lang w:eastAsia="zh-CN"/>
              </w:rPr>
              <w:t>、</w:t>
            </w:r>
            <w:r>
              <w:rPr>
                <w:rFonts w:ascii="Times New Roman" w:hAnsi="Times New Roman" w:eastAsia="Times New Roman" w:cs="Times New Roman"/>
                <w:color w:val="auto"/>
                <w:spacing w:val="3"/>
                <w:lang w:eastAsia="zh-CN"/>
              </w:rPr>
              <w:t>S06.7</w:t>
            </w:r>
            <w:r>
              <w:rPr>
                <w:color w:val="auto"/>
                <w:spacing w:val="3"/>
                <w:lang w:eastAsia="zh-CN"/>
              </w:rPr>
              <w:t>、</w:t>
            </w:r>
            <w:r>
              <w:rPr>
                <w:rFonts w:ascii="Times New Roman" w:hAnsi="Times New Roman" w:eastAsia="Times New Roman" w:cs="Times New Roman"/>
                <w:color w:val="auto"/>
                <w:spacing w:val="3"/>
                <w:lang w:eastAsia="zh-CN"/>
              </w:rPr>
              <w:t>G93.8</w:t>
            </w:r>
            <w:r>
              <w:rPr>
                <w:color w:val="auto"/>
                <w:spacing w:val="3"/>
                <w:lang w:eastAsia="zh-CN"/>
              </w:rPr>
              <w:t>、</w:t>
            </w:r>
          </w:p>
          <w:p>
            <w:pPr>
              <w:pStyle w:val="8"/>
              <w:spacing w:before="24" w:line="228" w:lineRule="auto"/>
              <w:ind w:left="25" w:right="15" w:hanging="5"/>
              <w:rPr>
                <w:color w:val="auto"/>
                <w:lang w:eastAsia="zh-CN"/>
              </w:rPr>
            </w:pPr>
            <w:r>
              <w:rPr>
                <w:rFonts w:ascii="Times New Roman" w:hAnsi="Times New Roman" w:eastAsia="Times New Roman" w:cs="Times New Roman"/>
                <w:color w:val="auto"/>
                <w:spacing w:val="9"/>
                <w:lang w:eastAsia="zh-CN"/>
              </w:rPr>
              <w:t>T90.5</w:t>
            </w:r>
            <w:r>
              <w:rPr>
                <w:color w:val="auto"/>
                <w:spacing w:val="9"/>
                <w:lang w:eastAsia="zh-CN"/>
              </w:rPr>
              <w:t>的颅内损</w:t>
            </w:r>
            <w:r>
              <w:rPr>
                <w:color w:val="auto"/>
                <w:spacing w:val="-8"/>
                <w:lang w:eastAsia="zh-CN"/>
              </w:rPr>
              <w:t>伤导致昏迷植</w:t>
            </w:r>
          </w:p>
        </w:tc>
        <w:tc>
          <w:tcPr>
            <w:tcW w:w="2004" w:type="dxa"/>
          </w:tcPr>
          <w:p>
            <w:pPr>
              <w:pStyle w:val="8"/>
              <w:spacing w:before="162" w:line="230" w:lineRule="auto"/>
              <w:ind w:left="29" w:right="15" w:hanging="14"/>
              <w:rPr>
                <w:color w:val="auto"/>
                <w:lang w:eastAsia="zh-CN"/>
              </w:rPr>
            </w:pPr>
            <w:r>
              <w:rPr>
                <w:color w:val="auto"/>
                <w:spacing w:val="1"/>
                <w:lang w:eastAsia="zh-CN"/>
              </w:rPr>
              <w:t>（一）治疗前功能评估</w:t>
            </w:r>
            <w:r>
              <w:rPr>
                <w:color w:val="auto"/>
                <w:spacing w:val="3"/>
                <w:lang w:eastAsia="zh-CN"/>
              </w:rPr>
              <w:t>完成率</w:t>
            </w:r>
          </w:p>
        </w:tc>
        <w:tc>
          <w:tcPr>
            <w:tcW w:w="1408" w:type="dxa"/>
          </w:tcPr>
          <w:p>
            <w:pPr>
              <w:pStyle w:val="8"/>
              <w:spacing w:before="41" w:line="223"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52"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161" w:line="229" w:lineRule="auto"/>
              <w:ind w:left="19" w:right="11" w:firstLine="2"/>
              <w:rPr>
                <w:color w:val="auto"/>
                <w:lang w:eastAsia="zh-CN"/>
              </w:rPr>
            </w:pPr>
            <w:r>
              <w:rPr>
                <w:color w:val="auto"/>
                <w:spacing w:val="16"/>
                <w:lang w:eastAsia="zh-CN"/>
              </w:rPr>
              <w:t>年度内对植物状态出院患者在治疗前使</w:t>
            </w:r>
            <w:r>
              <w:rPr>
                <w:color w:val="auto"/>
                <w:spacing w:val="9"/>
                <w:lang w:eastAsia="zh-CN"/>
              </w:rPr>
              <w:t>用合适的评定量表开展功能评估的统计</w:t>
            </w:r>
          </w:p>
        </w:tc>
        <w:tc>
          <w:tcPr>
            <w:tcW w:w="3176" w:type="dxa"/>
          </w:tcPr>
          <w:p>
            <w:pPr>
              <w:pStyle w:val="8"/>
              <w:spacing w:before="13" w:line="232" w:lineRule="auto"/>
              <w:ind w:left="21" w:right="12" w:hanging="5"/>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年度内植物状态出院患者治疗前完</w:t>
            </w:r>
            <w:r>
              <w:rPr>
                <w:color w:val="auto"/>
                <w:spacing w:val="14"/>
                <w:lang w:eastAsia="zh-CN"/>
              </w:rPr>
              <w:t>成功能评估例数</w:t>
            </w:r>
            <w:r>
              <w:rPr>
                <w:rFonts w:ascii="Times New Roman" w:hAnsi="Times New Roman" w:eastAsia="Times New Roman" w:cs="Times New Roman"/>
                <w:color w:val="auto"/>
                <w:spacing w:val="14"/>
                <w:lang w:eastAsia="zh-CN"/>
              </w:rPr>
              <w:t>/</w:t>
            </w:r>
            <w:r>
              <w:rPr>
                <w:color w:val="auto"/>
                <w:spacing w:val="14"/>
                <w:lang w:eastAsia="zh-CN"/>
              </w:rPr>
              <w:t>同期该病种出院患</w:t>
            </w:r>
            <w:r>
              <w:rPr>
                <w:color w:val="auto"/>
                <w:spacing w:val="3"/>
                <w:lang w:eastAsia="zh-CN"/>
              </w:rPr>
              <w:t>者总数</w:t>
            </w:r>
            <w:r>
              <w:rPr>
                <w:rFonts w:ascii="Times New Roman" w:hAnsi="Times New Roman" w:eastAsia="Times New Roman" w:cs="Times New Roman"/>
                <w:color w:val="auto"/>
                <w:spacing w:val="3"/>
                <w:lang w:eastAsia="zh-CN"/>
              </w:rPr>
              <w:t>×100%</w:t>
            </w:r>
          </w:p>
        </w:tc>
        <w:tc>
          <w:tcPr>
            <w:tcW w:w="1341" w:type="dxa"/>
          </w:tcPr>
          <w:p>
            <w:pPr>
              <w:pStyle w:val="8"/>
              <w:spacing w:before="283" w:line="227" w:lineRule="auto"/>
              <w:ind w:left="272"/>
              <w:rPr>
                <w:color w:val="auto"/>
              </w:rPr>
            </w:pPr>
            <w:r>
              <w:rPr>
                <w:color w:val="auto"/>
                <w:spacing w:val="8"/>
              </w:rPr>
              <w:t>逐步提高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27" w:type="dxa"/>
            <w:vMerge w:val="continue"/>
            <w:tcBorders>
              <w:top w:val="nil"/>
              <w:bottom w:val="nil"/>
            </w:tcBorders>
          </w:tcPr>
          <w:p>
            <w:pPr>
              <w:rPr>
                <w:color w:val="auto"/>
              </w:rPr>
            </w:pPr>
          </w:p>
        </w:tc>
        <w:tc>
          <w:tcPr>
            <w:tcW w:w="2004" w:type="dxa"/>
          </w:tcPr>
          <w:p>
            <w:pPr>
              <w:pStyle w:val="8"/>
              <w:spacing w:before="280" w:line="230" w:lineRule="auto"/>
              <w:ind w:left="29" w:right="15" w:hanging="14"/>
              <w:rPr>
                <w:color w:val="auto"/>
                <w:lang w:eastAsia="zh-CN"/>
              </w:rPr>
            </w:pPr>
            <w:r>
              <w:rPr>
                <w:color w:val="auto"/>
                <w:spacing w:val="2"/>
                <w:lang w:eastAsia="zh-CN"/>
              </w:rPr>
              <w:t>（二）住院次均费用增</w:t>
            </w:r>
            <w:r>
              <w:rPr>
                <w:color w:val="auto"/>
                <w:lang w:eastAsia="zh-CN"/>
              </w:rPr>
              <w:t>幅</w:t>
            </w:r>
          </w:p>
        </w:tc>
        <w:tc>
          <w:tcPr>
            <w:tcW w:w="1408" w:type="dxa"/>
          </w:tcPr>
          <w:p>
            <w:pPr>
              <w:pStyle w:val="8"/>
              <w:spacing w:before="161" w:line="231"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spacing w:line="308" w:lineRule="auto"/>
              <w:rPr>
                <w:color w:val="auto"/>
                <w:lang w:eastAsia="zh-CN"/>
              </w:rPr>
            </w:pPr>
          </w:p>
          <w:p>
            <w:pPr>
              <w:pStyle w:val="8"/>
              <w:spacing w:before="61"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280" w:line="230" w:lineRule="auto"/>
              <w:ind w:left="19" w:right="11" w:firstLine="2"/>
              <w:rPr>
                <w:color w:val="auto"/>
                <w:lang w:eastAsia="zh-CN"/>
              </w:rPr>
            </w:pPr>
            <w:r>
              <w:rPr>
                <w:color w:val="auto"/>
                <w:spacing w:val="16"/>
                <w:lang w:eastAsia="zh-CN"/>
              </w:rPr>
              <w:t>年度内植物状态出院患者的平均住院费</w:t>
            </w:r>
            <w:r>
              <w:rPr>
                <w:color w:val="auto"/>
                <w:spacing w:val="8"/>
                <w:lang w:eastAsia="zh-CN"/>
              </w:rPr>
              <w:t>用增长幅度</w:t>
            </w:r>
          </w:p>
        </w:tc>
        <w:tc>
          <w:tcPr>
            <w:tcW w:w="3176" w:type="dxa"/>
          </w:tcPr>
          <w:p>
            <w:pPr>
              <w:pStyle w:val="8"/>
              <w:spacing w:before="9" w:line="233" w:lineRule="auto"/>
              <w:ind w:left="33" w:right="9" w:hanging="17"/>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（本年度该病种出院患者住院次均</w:t>
            </w:r>
            <w:r>
              <w:rPr>
                <w:color w:val="auto"/>
                <w:spacing w:val="13"/>
                <w:lang w:eastAsia="zh-CN"/>
              </w:rPr>
              <w:t>费用</w:t>
            </w:r>
            <w:r>
              <w:rPr>
                <w:rFonts w:ascii="Times New Roman" w:hAnsi="Times New Roman" w:eastAsia="Times New Roman" w:cs="Times New Roman"/>
                <w:color w:val="auto"/>
                <w:spacing w:val="13"/>
                <w:lang w:eastAsia="zh-CN"/>
              </w:rPr>
              <w:t>-</w:t>
            </w:r>
            <w:r>
              <w:rPr>
                <w:color w:val="auto"/>
                <w:spacing w:val="13"/>
                <w:lang w:eastAsia="zh-CN"/>
              </w:rPr>
              <w:t>上一年度该病种患者住院次均</w:t>
            </w:r>
            <w:r>
              <w:rPr>
                <w:color w:val="auto"/>
                <w:spacing w:val="14"/>
                <w:lang w:eastAsia="zh-CN"/>
              </w:rPr>
              <w:t>费用）</w:t>
            </w:r>
            <w:r>
              <w:rPr>
                <w:rFonts w:ascii="Times New Roman" w:hAnsi="Times New Roman" w:eastAsia="Times New Roman" w:cs="Times New Roman"/>
                <w:color w:val="auto"/>
                <w:spacing w:val="14"/>
                <w:lang w:eastAsia="zh-CN"/>
              </w:rPr>
              <w:t>/</w:t>
            </w:r>
            <w:r>
              <w:rPr>
                <w:color w:val="auto"/>
                <w:spacing w:val="14"/>
                <w:lang w:eastAsia="zh-CN"/>
              </w:rPr>
              <w:t>上一年度该病种出院患者住</w:t>
            </w:r>
            <w:r>
              <w:rPr>
                <w:color w:val="auto"/>
                <w:spacing w:val="3"/>
                <w:lang w:eastAsia="zh-CN"/>
              </w:rPr>
              <w:t>院次均费用</w:t>
            </w:r>
            <w:r>
              <w:rPr>
                <w:rFonts w:ascii="Times New Roman" w:hAnsi="Times New Roman" w:eastAsia="Times New Roman" w:cs="Times New Roman"/>
                <w:color w:val="auto"/>
                <w:spacing w:val="3"/>
                <w:lang w:eastAsia="zh-CN"/>
              </w:rPr>
              <w:t>×100%</w:t>
            </w:r>
          </w:p>
        </w:tc>
        <w:tc>
          <w:tcPr>
            <w:tcW w:w="1341" w:type="dxa"/>
          </w:tcPr>
          <w:p>
            <w:pPr>
              <w:spacing w:line="338" w:lineRule="auto"/>
              <w:rPr>
                <w:color w:val="auto"/>
                <w:lang w:eastAsia="zh-CN"/>
              </w:rPr>
            </w:pPr>
          </w:p>
          <w:p>
            <w:pPr>
              <w:pStyle w:val="8"/>
              <w:spacing w:before="61" w:line="225" w:lineRule="auto"/>
              <w:ind w:left="282"/>
              <w:rPr>
                <w:color w:val="auto"/>
              </w:rPr>
            </w:pPr>
            <w:r>
              <w:rPr>
                <w:color w:val="auto"/>
                <w:spacing w:val="6"/>
              </w:rPr>
              <w:t>监测比较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427" w:type="dxa"/>
            <w:vMerge w:val="continue"/>
            <w:tcBorders>
              <w:top w:val="nil"/>
            </w:tcBorders>
          </w:tcPr>
          <w:p>
            <w:pPr>
              <w:rPr>
                <w:color w:val="auto"/>
              </w:rPr>
            </w:pPr>
          </w:p>
        </w:tc>
        <w:tc>
          <w:tcPr>
            <w:tcW w:w="2004" w:type="dxa"/>
          </w:tcPr>
          <w:p>
            <w:pPr>
              <w:pStyle w:val="8"/>
              <w:spacing w:before="162" w:line="228" w:lineRule="auto"/>
              <w:ind w:left="19" w:right="15" w:hanging="4"/>
              <w:rPr>
                <w:color w:val="auto"/>
                <w:lang w:eastAsia="zh-CN"/>
              </w:rPr>
            </w:pPr>
            <w:r>
              <w:rPr>
                <w:color w:val="auto"/>
                <w:spacing w:val="6"/>
                <w:lang w:eastAsia="zh-CN"/>
              </w:rPr>
              <w:t>（三）实施风险事件充</w:t>
            </w:r>
            <w:r>
              <w:rPr>
                <w:color w:val="auto"/>
                <w:spacing w:val="7"/>
                <w:lang w:eastAsia="zh-CN"/>
              </w:rPr>
              <w:t>分评估比例</w:t>
            </w:r>
          </w:p>
        </w:tc>
        <w:tc>
          <w:tcPr>
            <w:tcW w:w="1408" w:type="dxa"/>
          </w:tcPr>
          <w:p>
            <w:pPr>
              <w:pStyle w:val="8"/>
              <w:spacing w:before="40" w:line="224"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51"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40" w:line="224" w:lineRule="auto"/>
              <w:ind w:left="22" w:hanging="1"/>
              <w:jc w:val="both"/>
              <w:rPr>
                <w:color w:val="auto"/>
                <w:lang w:eastAsia="zh-CN"/>
              </w:rPr>
            </w:pPr>
            <w:r>
              <w:rPr>
                <w:color w:val="auto"/>
                <w:spacing w:val="13"/>
                <w:lang w:eastAsia="zh-CN"/>
              </w:rPr>
              <w:t>年度内植物状态患者实施风险评估比例</w:t>
            </w:r>
            <w:r>
              <w:rPr>
                <w:color w:val="auto"/>
                <w:spacing w:val="-5"/>
                <w:lang w:eastAsia="zh-CN"/>
              </w:rPr>
              <w:t>情况统计，包括压疮、窒息、感染、坠床、</w:t>
            </w:r>
            <w:r>
              <w:rPr>
                <w:color w:val="auto"/>
                <w:spacing w:val="5"/>
                <w:lang w:eastAsia="zh-CN"/>
              </w:rPr>
              <w:t>深静脉血栓等风险事件</w:t>
            </w:r>
          </w:p>
        </w:tc>
        <w:tc>
          <w:tcPr>
            <w:tcW w:w="3176" w:type="dxa"/>
          </w:tcPr>
          <w:p>
            <w:pPr>
              <w:pStyle w:val="8"/>
              <w:spacing w:before="12" w:line="233" w:lineRule="auto"/>
              <w:ind w:left="24" w:right="12" w:hanging="8"/>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年度内植物状态出院患者实施风险</w:t>
            </w:r>
            <w:r>
              <w:rPr>
                <w:color w:val="auto"/>
                <w:spacing w:val="14"/>
                <w:lang w:eastAsia="zh-CN"/>
              </w:rPr>
              <w:t>充分评估例数</w:t>
            </w:r>
            <w:r>
              <w:rPr>
                <w:rFonts w:ascii="Times New Roman" w:hAnsi="Times New Roman" w:eastAsia="Times New Roman" w:cs="Times New Roman"/>
                <w:color w:val="auto"/>
                <w:spacing w:val="14"/>
                <w:lang w:eastAsia="zh-CN"/>
              </w:rPr>
              <w:t>/</w:t>
            </w:r>
            <w:r>
              <w:rPr>
                <w:color w:val="auto"/>
                <w:spacing w:val="14"/>
                <w:lang w:eastAsia="zh-CN"/>
              </w:rPr>
              <w:t>同期该病种出院患者</w:t>
            </w:r>
            <w:r>
              <w:rPr>
                <w:color w:val="auto"/>
                <w:spacing w:val="1"/>
                <w:lang w:eastAsia="zh-CN"/>
              </w:rPr>
              <w:t>总数</w:t>
            </w:r>
            <w:r>
              <w:rPr>
                <w:rFonts w:ascii="Times New Roman" w:hAnsi="Times New Roman" w:eastAsia="Times New Roman" w:cs="Times New Roman"/>
                <w:color w:val="auto"/>
                <w:spacing w:val="1"/>
                <w:lang w:eastAsia="zh-CN"/>
              </w:rPr>
              <w:t>×100%</w:t>
            </w:r>
          </w:p>
        </w:tc>
        <w:tc>
          <w:tcPr>
            <w:tcW w:w="1341" w:type="dxa"/>
          </w:tcPr>
          <w:p>
            <w:pPr>
              <w:pStyle w:val="8"/>
              <w:spacing w:before="282" w:line="227" w:lineRule="auto"/>
              <w:ind w:left="272"/>
              <w:rPr>
                <w:color w:val="auto"/>
              </w:rPr>
            </w:pPr>
            <w:r>
              <w:rPr>
                <w:color w:val="auto"/>
                <w:spacing w:val="8"/>
              </w:rPr>
              <w:t>逐步提高</w:t>
            </w:r>
          </w:p>
        </w:tc>
      </w:tr>
    </w:tbl>
    <w:p>
      <w:pPr>
        <w:spacing w:line="20" w:lineRule="exact"/>
        <w:rPr>
          <w:color w:val="auto"/>
        </w:rPr>
      </w:pPr>
    </w:p>
    <w:p>
      <w:pPr>
        <w:spacing w:line="20" w:lineRule="exact"/>
        <w:rPr>
          <w:color w:val="auto"/>
        </w:rPr>
        <w:sectPr>
          <w:footerReference r:id="rId61" w:type="default"/>
          <w:pgSz w:w="16839" w:h="11906"/>
          <w:pgMar w:top="1012" w:right="1180" w:bottom="1439" w:left="1511" w:header="0" w:footer="1277" w:gutter="0"/>
          <w:pgNumType w:fmt="numberInDash"/>
          <w:cols w:space="720" w:num="1"/>
        </w:sectPr>
      </w:pPr>
    </w:p>
    <w:p>
      <w:pPr>
        <w:spacing w:before="18"/>
        <w:rPr>
          <w:color w:val="auto"/>
        </w:rPr>
      </w:pPr>
    </w:p>
    <w:p>
      <w:pPr>
        <w:spacing w:before="18"/>
        <w:rPr>
          <w:color w:val="auto"/>
        </w:rPr>
      </w:pPr>
    </w:p>
    <w:tbl>
      <w:tblPr>
        <w:tblStyle w:val="7"/>
        <w:tblW w:w="14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2004"/>
        <w:gridCol w:w="1408"/>
        <w:gridCol w:w="1241"/>
        <w:gridCol w:w="3544"/>
        <w:gridCol w:w="3176"/>
        <w:gridCol w:w="1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27" w:type="dxa"/>
          </w:tcPr>
          <w:p>
            <w:pPr>
              <w:spacing w:before="202" w:line="230" w:lineRule="auto"/>
              <w:ind w:left="719"/>
              <w:rPr>
                <w:rFonts w:ascii="黑体" w:hAnsi="黑体" w:eastAsia="黑体" w:cs="黑体"/>
                <w:color w:val="auto"/>
                <w:sz w:val="19"/>
                <w:szCs w:val="19"/>
              </w:rPr>
            </w:pPr>
            <w:r>
              <w:rPr>
                <w:rFonts w:ascii="黑体" w:hAnsi="黑体" w:eastAsia="黑体" w:cs="黑体"/>
                <w:color w:val="auto"/>
                <w:spacing w:val="4"/>
                <w:sz w:val="19"/>
                <w:szCs w:val="19"/>
              </w:rPr>
              <w:t>章节</w:t>
            </w:r>
          </w:p>
        </w:tc>
        <w:tc>
          <w:tcPr>
            <w:tcW w:w="2004" w:type="dxa"/>
          </w:tcPr>
          <w:p>
            <w:pPr>
              <w:spacing w:before="201" w:line="232" w:lineRule="auto"/>
              <w:ind w:left="805"/>
              <w:rPr>
                <w:rFonts w:ascii="黑体" w:hAnsi="黑体" w:eastAsia="黑体" w:cs="黑体"/>
                <w:color w:val="auto"/>
                <w:sz w:val="19"/>
                <w:szCs w:val="19"/>
              </w:rPr>
            </w:pPr>
            <w:r>
              <w:rPr>
                <w:rFonts w:ascii="黑体" w:hAnsi="黑体" w:eastAsia="黑体" w:cs="黑体"/>
                <w:color w:val="auto"/>
                <w:spacing w:val="5"/>
                <w:sz w:val="19"/>
                <w:szCs w:val="19"/>
              </w:rPr>
              <w:t>指标</w:t>
            </w:r>
          </w:p>
        </w:tc>
        <w:tc>
          <w:tcPr>
            <w:tcW w:w="1408" w:type="dxa"/>
          </w:tcPr>
          <w:p>
            <w:pPr>
              <w:spacing w:before="202" w:line="231" w:lineRule="auto"/>
              <w:ind w:left="308"/>
              <w:rPr>
                <w:rFonts w:ascii="黑体" w:hAnsi="黑体" w:eastAsia="黑体" w:cs="黑体"/>
                <w:color w:val="auto"/>
                <w:sz w:val="19"/>
                <w:szCs w:val="19"/>
              </w:rPr>
            </w:pPr>
            <w:r>
              <w:rPr>
                <w:rFonts w:ascii="黑体" w:hAnsi="黑体" w:eastAsia="黑体" w:cs="黑体"/>
                <w:color w:val="auto"/>
                <w:spacing w:val="8"/>
                <w:sz w:val="19"/>
                <w:szCs w:val="19"/>
              </w:rPr>
              <w:t>指标属性</w:t>
            </w:r>
          </w:p>
        </w:tc>
        <w:tc>
          <w:tcPr>
            <w:tcW w:w="1241" w:type="dxa"/>
          </w:tcPr>
          <w:p>
            <w:pPr>
              <w:spacing w:before="202" w:line="231" w:lineRule="auto"/>
              <w:ind w:left="226"/>
              <w:rPr>
                <w:rFonts w:ascii="黑体" w:hAnsi="黑体" w:eastAsia="黑体" w:cs="黑体"/>
                <w:color w:val="auto"/>
                <w:sz w:val="19"/>
                <w:szCs w:val="19"/>
              </w:rPr>
            </w:pPr>
            <w:r>
              <w:rPr>
                <w:rFonts w:ascii="黑体" w:hAnsi="黑体" w:eastAsia="黑体" w:cs="黑体"/>
                <w:color w:val="auto"/>
                <w:spacing w:val="7"/>
                <w:sz w:val="19"/>
                <w:szCs w:val="19"/>
              </w:rPr>
              <w:t>计量单位</w:t>
            </w:r>
          </w:p>
        </w:tc>
        <w:tc>
          <w:tcPr>
            <w:tcW w:w="3544" w:type="dxa"/>
          </w:tcPr>
          <w:p>
            <w:pPr>
              <w:spacing w:before="201" w:line="232" w:lineRule="auto"/>
              <w:ind w:left="1377"/>
              <w:rPr>
                <w:rFonts w:ascii="黑体" w:hAnsi="黑体" w:eastAsia="黑体" w:cs="黑体"/>
                <w:color w:val="auto"/>
                <w:sz w:val="19"/>
                <w:szCs w:val="19"/>
              </w:rPr>
            </w:pPr>
            <w:r>
              <w:rPr>
                <w:rFonts w:ascii="黑体" w:hAnsi="黑体" w:eastAsia="黑体" w:cs="黑体"/>
                <w:color w:val="auto"/>
                <w:spacing w:val="8"/>
                <w:sz w:val="19"/>
                <w:szCs w:val="19"/>
              </w:rPr>
              <w:t>指标定义</w:t>
            </w:r>
          </w:p>
        </w:tc>
        <w:tc>
          <w:tcPr>
            <w:tcW w:w="3176" w:type="dxa"/>
          </w:tcPr>
          <w:p>
            <w:pPr>
              <w:spacing w:before="201" w:line="230" w:lineRule="auto"/>
              <w:ind w:left="1194"/>
              <w:rPr>
                <w:rFonts w:ascii="黑体" w:hAnsi="黑体" w:eastAsia="黑体" w:cs="黑体"/>
                <w:color w:val="auto"/>
                <w:sz w:val="19"/>
                <w:szCs w:val="19"/>
              </w:rPr>
            </w:pPr>
            <w:r>
              <w:rPr>
                <w:rFonts w:ascii="黑体" w:hAnsi="黑体" w:eastAsia="黑体" w:cs="黑体"/>
                <w:color w:val="auto"/>
                <w:spacing w:val="7"/>
                <w:sz w:val="19"/>
                <w:szCs w:val="19"/>
              </w:rPr>
              <w:t>计算方法</w:t>
            </w:r>
          </w:p>
        </w:tc>
        <w:tc>
          <w:tcPr>
            <w:tcW w:w="1341" w:type="dxa"/>
          </w:tcPr>
          <w:p>
            <w:pPr>
              <w:spacing w:before="202" w:line="231" w:lineRule="auto"/>
              <w:ind w:left="275"/>
              <w:rPr>
                <w:rFonts w:ascii="黑体" w:hAnsi="黑体" w:eastAsia="黑体" w:cs="黑体"/>
                <w:color w:val="auto"/>
                <w:sz w:val="19"/>
                <w:szCs w:val="19"/>
              </w:rPr>
            </w:pPr>
            <w:r>
              <w:rPr>
                <w:rFonts w:ascii="黑体" w:hAnsi="黑体" w:eastAsia="黑体" w:cs="黑体"/>
                <w:color w:val="auto"/>
                <w:spacing w:val="8"/>
                <w:sz w:val="19"/>
                <w:szCs w:val="19"/>
              </w:rPr>
              <w:t>指标导向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427" w:type="dxa"/>
          </w:tcPr>
          <w:p>
            <w:pPr>
              <w:pStyle w:val="8"/>
              <w:spacing w:before="39" w:line="230" w:lineRule="auto"/>
              <w:ind w:left="26" w:right="15" w:firstLine="2"/>
              <w:rPr>
                <w:color w:val="auto"/>
                <w:lang w:eastAsia="zh-CN"/>
              </w:rPr>
            </w:pPr>
            <w:r>
              <w:rPr>
                <w:color w:val="auto"/>
                <w:spacing w:val="-7"/>
                <w:lang w:eastAsia="zh-CN"/>
              </w:rPr>
              <w:t>物状态的非产</w:t>
            </w:r>
            <w:r>
              <w:rPr>
                <w:color w:val="auto"/>
                <w:spacing w:val="7"/>
                <w:lang w:eastAsia="zh-CN"/>
              </w:rPr>
              <w:t>妇出院患者</w:t>
            </w:r>
          </w:p>
        </w:tc>
        <w:tc>
          <w:tcPr>
            <w:tcW w:w="2004" w:type="dxa"/>
          </w:tcPr>
          <w:p>
            <w:pPr>
              <w:pStyle w:val="8"/>
              <w:spacing w:before="159" w:line="230" w:lineRule="auto"/>
              <w:ind w:left="15" w:right="15"/>
              <w:rPr>
                <w:color w:val="auto"/>
                <w:lang w:eastAsia="zh-CN"/>
              </w:rPr>
            </w:pPr>
            <w:r>
              <w:rPr>
                <w:color w:val="auto"/>
                <w:spacing w:val="6"/>
                <w:lang w:eastAsia="zh-CN"/>
              </w:rPr>
              <w:t>（四）住院期内风险事</w:t>
            </w:r>
            <w:r>
              <w:rPr>
                <w:color w:val="auto"/>
                <w:spacing w:val="8"/>
                <w:lang w:eastAsia="zh-CN"/>
              </w:rPr>
              <w:t>件发生率</w:t>
            </w:r>
          </w:p>
        </w:tc>
        <w:tc>
          <w:tcPr>
            <w:tcW w:w="1408" w:type="dxa"/>
          </w:tcPr>
          <w:p>
            <w:pPr>
              <w:pStyle w:val="8"/>
              <w:spacing w:before="41" w:line="225" w:lineRule="auto"/>
              <w:ind w:left="18" w:right="14" w:firstLine="2"/>
              <w:jc w:val="both"/>
              <w:rPr>
                <w:color w:val="auto"/>
                <w:lang w:eastAsia="zh-CN"/>
              </w:rPr>
            </w:pPr>
            <w:r>
              <w:rPr>
                <w:color w:val="auto"/>
                <w:spacing w:val="5"/>
                <w:lang w:eastAsia="zh-CN"/>
              </w:rPr>
              <w:t>定量指标，连续监测类指标，必</w:t>
            </w:r>
            <w:r>
              <w:rPr>
                <w:color w:val="auto"/>
                <w:spacing w:val="7"/>
                <w:lang w:eastAsia="zh-CN"/>
              </w:rPr>
              <w:t>填指标</w:t>
            </w:r>
          </w:p>
        </w:tc>
        <w:tc>
          <w:tcPr>
            <w:tcW w:w="1241" w:type="dxa"/>
          </w:tcPr>
          <w:p>
            <w:pPr>
              <w:pStyle w:val="8"/>
              <w:spacing w:before="250" w:line="261" w:lineRule="exact"/>
              <w:ind w:left="28"/>
              <w:rPr>
                <w:color w:val="auto"/>
              </w:rPr>
            </w:pPr>
            <w:r>
              <w:rPr>
                <w:color w:val="auto"/>
                <w:spacing w:val="6"/>
                <w:position w:val="1"/>
              </w:rPr>
              <w:t>百分比（</w:t>
            </w:r>
            <w:r>
              <w:rPr>
                <w:rFonts w:ascii="Times New Roman" w:hAnsi="Times New Roman" w:eastAsia="Times New Roman" w:cs="Times New Roman"/>
                <w:color w:val="auto"/>
                <w:spacing w:val="6"/>
                <w:position w:val="1"/>
              </w:rPr>
              <w:t>%</w:t>
            </w:r>
            <w:r>
              <w:rPr>
                <w:color w:val="auto"/>
                <w:spacing w:val="6"/>
                <w:position w:val="1"/>
              </w:rPr>
              <w:t>）</w:t>
            </w:r>
          </w:p>
        </w:tc>
        <w:tc>
          <w:tcPr>
            <w:tcW w:w="3544" w:type="dxa"/>
          </w:tcPr>
          <w:p>
            <w:pPr>
              <w:pStyle w:val="8"/>
              <w:spacing w:before="41" w:line="225" w:lineRule="auto"/>
              <w:ind w:left="19" w:right="11" w:firstLine="2"/>
              <w:jc w:val="both"/>
              <w:rPr>
                <w:color w:val="auto"/>
                <w:lang w:eastAsia="zh-CN"/>
              </w:rPr>
            </w:pPr>
            <w:r>
              <w:rPr>
                <w:color w:val="auto"/>
                <w:spacing w:val="16"/>
                <w:lang w:eastAsia="zh-CN"/>
              </w:rPr>
              <w:t>年度内植物状态患者住院期内风险事件</w:t>
            </w:r>
            <w:r>
              <w:rPr>
                <w:color w:val="auto"/>
                <w:spacing w:val="4"/>
                <w:lang w:eastAsia="zh-CN"/>
              </w:rPr>
              <w:t>发生情况统计，主要包括压疮、窒息、感</w:t>
            </w:r>
            <w:r>
              <w:rPr>
                <w:color w:val="auto"/>
                <w:spacing w:val="9"/>
                <w:lang w:eastAsia="zh-CN"/>
              </w:rPr>
              <w:t>染、坠床、深静脉血栓等风险事件</w:t>
            </w:r>
          </w:p>
        </w:tc>
        <w:tc>
          <w:tcPr>
            <w:tcW w:w="3176" w:type="dxa"/>
          </w:tcPr>
          <w:p>
            <w:pPr>
              <w:pStyle w:val="8"/>
              <w:spacing w:before="11" w:line="244" w:lineRule="auto"/>
              <w:ind w:left="20" w:right="9" w:hanging="4"/>
              <w:jc w:val="both"/>
              <w:rPr>
                <w:rFonts w:ascii="Times New Roman" w:hAnsi="Times New Roman" w:eastAsia="Times New Roman" w:cs="Times New Roman"/>
                <w:color w:val="auto"/>
                <w:lang w:eastAsia="zh-CN"/>
              </w:rPr>
            </w:pPr>
            <w:r>
              <w:rPr>
                <w:rFonts w:ascii="Times New Roman" w:hAnsi="Times New Roman" w:eastAsia="Times New Roman" w:cs="Times New Roman"/>
                <w:color w:val="auto"/>
                <w:spacing w:val="11"/>
                <w:lang w:eastAsia="zh-CN"/>
              </w:rPr>
              <w:t>=</w:t>
            </w:r>
            <w:r>
              <w:rPr>
                <w:color w:val="auto"/>
                <w:spacing w:val="11"/>
                <w:lang w:eastAsia="zh-CN"/>
              </w:rPr>
              <w:t>年度内植物状态出院患者风险事件</w:t>
            </w:r>
            <w:r>
              <w:rPr>
                <w:color w:val="auto"/>
                <w:spacing w:val="14"/>
                <w:lang w:eastAsia="zh-CN"/>
              </w:rPr>
              <w:t>发生例数</w:t>
            </w:r>
            <w:r>
              <w:rPr>
                <w:rFonts w:ascii="Times New Roman" w:hAnsi="Times New Roman" w:eastAsia="Times New Roman" w:cs="Times New Roman"/>
                <w:color w:val="auto"/>
                <w:spacing w:val="14"/>
                <w:lang w:eastAsia="zh-CN"/>
              </w:rPr>
              <w:t>/</w:t>
            </w:r>
            <w:r>
              <w:rPr>
                <w:color w:val="auto"/>
                <w:spacing w:val="14"/>
                <w:lang w:eastAsia="zh-CN"/>
              </w:rPr>
              <w:t>同期该病种出院患者总数</w:t>
            </w:r>
            <w:r>
              <w:rPr>
                <w:rFonts w:ascii="Times New Roman" w:hAnsi="Times New Roman" w:eastAsia="Times New Roman" w:cs="Times New Roman"/>
                <w:color w:val="auto"/>
                <w:spacing w:val="-1"/>
                <w:lang w:eastAsia="zh-CN"/>
              </w:rPr>
              <w:t>×100%</w:t>
            </w:r>
          </w:p>
        </w:tc>
        <w:tc>
          <w:tcPr>
            <w:tcW w:w="1341" w:type="dxa"/>
          </w:tcPr>
          <w:p>
            <w:pPr>
              <w:pStyle w:val="8"/>
              <w:spacing w:before="280" w:line="227" w:lineRule="auto"/>
              <w:ind w:left="272"/>
              <w:rPr>
                <w:color w:val="auto"/>
              </w:rPr>
            </w:pPr>
            <w:r>
              <w:rPr>
                <w:color w:val="auto"/>
                <w:spacing w:val="8"/>
              </w:rPr>
              <w:t>逐步降低</w:t>
            </w:r>
          </w:p>
        </w:tc>
      </w:tr>
    </w:tbl>
    <w:p>
      <w:pPr>
        <w:rPr>
          <w:color w:val="auto"/>
        </w:rPr>
      </w:pPr>
    </w:p>
    <w:p>
      <w:pPr>
        <w:rPr>
          <w:color w:val="auto"/>
        </w:rPr>
        <w:sectPr>
          <w:footerReference r:id="rId62" w:type="default"/>
          <w:pgSz w:w="16839" w:h="11906"/>
          <w:pgMar w:top="1012" w:right="1180" w:bottom="1439" w:left="1511" w:header="0" w:footer="1277" w:gutter="0"/>
          <w:pgNumType w:fmt="numberInDash"/>
          <w:cols w:space="720" w:num="1"/>
        </w:sectPr>
      </w:pPr>
    </w:p>
    <w:p>
      <w:pPr>
        <w:spacing w:line="369" w:lineRule="auto"/>
        <w:rPr>
          <w:color w:val="auto"/>
        </w:rPr>
      </w:pPr>
    </w:p>
    <w:p>
      <w:pPr>
        <w:spacing w:before="140" w:line="604" w:lineRule="exact"/>
        <w:ind w:left="2422"/>
        <w:rPr>
          <w:rFonts w:ascii="宋体" w:hAnsi="宋体" w:eastAsia="宋体" w:cs="宋体"/>
          <w:color w:val="auto"/>
          <w:sz w:val="43"/>
          <w:szCs w:val="43"/>
        </w:rPr>
      </w:pPr>
      <w:r>
        <w:rPr>
          <w:rFonts w:ascii="宋体" w:hAnsi="宋体" w:eastAsia="宋体" w:cs="宋体"/>
          <w:color w:val="auto"/>
          <w:spacing w:val="8"/>
          <w:position w:val="3"/>
          <w:sz w:val="43"/>
          <w:szCs w:val="43"/>
        </w:rPr>
        <w:t>第三部分现场检查</w:t>
      </w:r>
    </w:p>
    <w:p>
      <w:pPr>
        <w:spacing w:line="321" w:lineRule="auto"/>
        <w:rPr>
          <w:color w:val="auto"/>
        </w:rPr>
      </w:pPr>
    </w:p>
    <w:p>
      <w:pPr>
        <w:pStyle w:val="2"/>
        <w:spacing w:before="101" w:line="409" w:lineRule="exact"/>
        <w:ind w:left="270"/>
        <w:rPr>
          <w:color w:val="auto"/>
        </w:rPr>
      </w:pPr>
      <w:r>
        <w:rPr>
          <w:rFonts w:ascii="Wingdings" w:hAnsi="Wingdings" w:eastAsia="Wingdings" w:cs="Wingdings"/>
          <w:color w:val="auto"/>
          <w:spacing w:val="-27"/>
          <w:position w:val="1"/>
        </w:rPr>
        <w:t></w:t>
      </w:r>
      <w:r>
        <w:rPr>
          <w:color w:val="auto"/>
          <w:spacing w:val="-27"/>
          <w:position w:val="1"/>
        </w:rPr>
        <w:t>医院功能与任务</w:t>
      </w:r>
    </w:p>
    <w:p>
      <w:pPr>
        <w:pStyle w:val="2"/>
        <w:spacing w:before="150" w:line="410" w:lineRule="exact"/>
        <w:ind w:left="270"/>
        <w:rPr>
          <w:color w:val="auto"/>
          <w:lang w:eastAsia="zh-CN"/>
        </w:rPr>
      </w:pPr>
      <w:r>
        <w:rPr>
          <w:rFonts w:ascii="Wingdings" w:hAnsi="Wingdings" w:eastAsia="Wingdings" w:cs="Wingdings"/>
          <w:color w:val="auto"/>
          <w:spacing w:val="-13"/>
          <w:position w:val="1"/>
          <w:lang w:eastAsia="zh-CN"/>
        </w:rPr>
        <w:t></w:t>
      </w:r>
      <w:r>
        <w:rPr>
          <w:color w:val="auto"/>
          <w:spacing w:val="-13"/>
          <w:position w:val="1"/>
          <w:lang w:eastAsia="zh-CN"/>
        </w:rPr>
        <w:t>临床服务质量与安全管理</w:t>
      </w:r>
    </w:p>
    <w:p>
      <w:pPr>
        <w:pStyle w:val="2"/>
        <w:spacing w:before="151" w:line="410" w:lineRule="exact"/>
        <w:ind w:left="270"/>
        <w:rPr>
          <w:color w:val="auto"/>
        </w:rPr>
      </w:pPr>
      <w:r>
        <w:rPr>
          <w:rFonts w:ascii="Wingdings" w:hAnsi="Wingdings" w:eastAsia="Wingdings" w:cs="Wingdings"/>
          <w:color w:val="auto"/>
          <w:spacing w:val="-49"/>
          <w:position w:val="1"/>
        </w:rPr>
        <w:t></w:t>
      </w:r>
      <w:r>
        <w:rPr>
          <w:color w:val="auto"/>
          <w:spacing w:val="-49"/>
          <w:position w:val="1"/>
        </w:rPr>
        <w:t>医院管理</w:t>
      </w:r>
    </w:p>
    <w:p>
      <w:pPr>
        <w:pStyle w:val="2"/>
        <w:spacing w:before="149" w:line="408" w:lineRule="exact"/>
        <w:ind w:left="270"/>
        <w:rPr>
          <w:color w:val="auto"/>
          <w:spacing w:val="-43"/>
          <w:position w:val="1"/>
        </w:rPr>
      </w:pPr>
      <w:r>
        <w:rPr>
          <w:rFonts w:ascii="Wingdings" w:hAnsi="Wingdings" w:eastAsia="Wingdings" w:cs="Wingdings"/>
          <w:color w:val="auto"/>
          <w:spacing w:val="-43"/>
          <w:position w:val="1"/>
        </w:rPr>
        <w:t></w:t>
      </w:r>
      <w:r>
        <w:rPr>
          <w:color w:val="auto"/>
          <w:spacing w:val="-43"/>
          <w:position w:val="1"/>
        </w:rPr>
        <w:t>补充条款</w:t>
      </w:r>
    </w:p>
    <w:p>
      <w:pPr>
        <w:pStyle w:val="2"/>
        <w:spacing w:before="149" w:line="408" w:lineRule="exact"/>
        <w:ind w:left="270"/>
        <w:rPr>
          <w:color w:val="auto"/>
          <w:spacing w:val="-43"/>
          <w:position w:val="1"/>
        </w:rPr>
      </w:pPr>
    </w:p>
    <w:tbl>
      <w:tblPr>
        <w:tblStyle w:val="5"/>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1239"/>
        <w:gridCol w:w="6583"/>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微软雅黑" w:hAnsi="微软雅黑" w:eastAsia="微软雅黑" w:cs="微软雅黑"/>
                <w:b/>
                <w:bCs/>
                <w:sz w:val="28"/>
                <w:szCs w:val="28"/>
                <w:lang w:eastAsia="zh-CN"/>
              </w:rPr>
              <w:t>第一章  医院功能与任务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一、依据医院的功能任务，确定医院的发展目标和中长期发展规划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（一）医院的功能与任务，符合本区域卫生发展规划。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1.1功能与任务，符合本区域卫生发展规划。</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医院的功能与任务符合本区域卫生发展规划。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制定发展规划和管理目标，能体现医院宗旨与愿景，并应用多途径向全体员工、患者及社会宣传。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员工知晓医院的宗旨、愿景、目标和功能任务。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职能部门定期自查、评估、分析、整改。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有数据或案例体现医院发展规划和管理目标落实情况良好。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（二）制定医院中长期规划与年度计划，医院规模和发展目标与医院的功能任务一致。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2.1有院科两级中长期规划与年度计划，医院规模和发展目标与医院的功能任务一致。</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建立并实行院科两级计划管理体系，制定中长期规划（内容包括：目标、实施方法、实施步骤、工作分工、相关预算以及年度安排等）和年度计划。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中长期规划及年度计划征求员工意见，各部门共同讨论制定，并经职工代表大会讨论通过。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各部门、科室执行年度计划并落实。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主管部门对年度计划进行定期检查、分析、总结，提出改进措施。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有数据或案例体现年度计划完成情况良好。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（三）医院有承担服务区域内急危重症和疑难疾病诊疗的设施设备、技术梯队与处置能力。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3.1有承担本院急危重症和疑难疾病诊疗的设施设备、人才技术梯队与处置能力。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具备承担本院急危重症和疑难疾病诊疗的设施设备、技术梯队与处置能力。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重症监护床位数占医院总床位的比例合理，能满足一般康复临床危重症患者救治需要，医院可提供24小时院内急危重症诊疗服务。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门诊及住院部有疑难疾病诊治的制度并落实。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科室对急危重症和疑难疾病诊疗有定期自查、总结分析、整改。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主管部门定期对急危重症和疑难疾病诊疗服务开展督导、检查、分析、反馈，并督查科室整改落实情况。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二、坚持医院的公益性，把社会效益放在首位，履行相应的社会责任和义务。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（四）坚持医院的公益性，履行相应的社会责任和义务。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4.1坚持医院的公益性，“以患者为中心”，履行相应的社会责任和义务。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坚持医院的公益性，把社会效益放在首位，并在章程中体现；制定保障基本医疗服务的制度与规范，有“以患者为中心”，优化质量、保证安全、改进服务、降低成本的措施并执行。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认真完成法定公共卫生服务、突发事件应急医疗救援、健康扶贫、对口支援等任务。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管理部门对公益性服务组织制定实施方案并落实。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有数据或案例体现社会责任和义务履行情况良好。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5.1根据相关法律法规要求，建立健全的传染病防治组织架构，承担传染病及食源性疾病的发现、控制、报告、预防等任务。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有传染病及食源性疾病防治组织架构，成立工作领导小组、重点传染病及食源性疾病和突发公共卫生事件防控工作机制。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按照传染病及食源性疾病防治有关规定及时报告疫情，有指定部门、指定人员负责传染病及食源性疾病疫情的监控、报告和预防工作。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传染病预检、分诊制度，对传染病患者、疑似传染病患者引导至相对隔离的分诊点进行初诊，门诊、住院诊疗信息登记完整。对发现的法定传染病患者、病原携带者、疑似患者的密切接触者采取必要的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无传染病漏报。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5.2定期对全体医务人员进行传染病、食源性疾病防治知识和技能培训与处置演练。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医院及科室有传染病及食源性疾病防治知识和技能培训计划，并组织相关培训。医务人员知晓传染病及食源性疾病防治相关知识，并能遵循。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根据传染病及食源性疾病疫情，适时开展传染病及食源性疾病处置演练。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（六）按照《国家基本药物临床应用指南》和《国家处方集》及医疗机构药品使用管理有关规定，规范医师处方行为，优先合理使用基本药物。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6.1执行国家基本药物制度，规范医师处方行为，优先合理使用基本药物。</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有贯彻落实《国家基本药物临床应用指南》和《国家基本药物处方集》、优先使用国家基本药物的相关规定及措施。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《国家基本药物目录》中的品种优先纳入“药品处方集 ”和“医疗机构药品目录 ”，有相应的采购及使用量。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有措施促进医师优先合理使用基本药物，规范处方行为，并定期对全院基本药物使用情况进行评价与反馈。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主管部门定期对使用国家基本药物情况有检查、分析、反馈，并落实整改。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全院基本药物品种及使用金额比例符合省级卫生行政部门的规定。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三、促进医疗资源下沉，完成政府指令性任务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（七）加强医联体建设，实行分级诊疗，建立与实施双向转诊制度及相关服务流程，提升医联体内基层医疗机构服务能力，促进优质医疗资源扩容和下沉。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7.1加强医联体建设，实行分级诊疗，建立与实施双向转诊制度及相关服务流程，提升医联体内基层医疗机构服务能力，促进优质医疗资源扩容和下沉。</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制定医联体建设方案并组织实施。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建立并实施双向转诊制度与服务流程，签订双向转诊协议并落实；指定部门、指定人员负责相关工作实施。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有双向转诊的绿色通道，有通畅的沟通联系机制，转诊服务流程通畅；双向转诊相关工作台账资料完整。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（八）将对口支援下级医疗机构（以下简称受援医疗机构）的康复专科建设及社区卫生服务工作纳入院长目标责任制，有实施方案，有专人负责。将残疾管理纳入医院目标管理及年度工作计划。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8.1将对口支援下级医疗机构的康复学科建设及社区卫生服务工作纳入院长目标责任制，有实施方案，有专人负责。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将对口支援下级医疗机构的康复专科建设和支援社区卫生服务工作纳入院长目标责任制管理，根据受援医疗机构的实际情况，双方制定具体的技术指导、人才培养及管理帮扶目标和实施方案，签订协议书。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针对支援医疗机构康复专科建设的需求，制定扶持计划，在技术指导、人才培养及管理等方面开展帮扶，并纳入医院年度计划、制定实施方案并执行。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有指定部门和人员负责下级医院对口支援管理工作。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明确对口帮扶的职责、目标、任务、工作岗位、建立考核机制。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主管部门定期到下级医疗机构和社区卫生服务中心现场开展督导、检查，听取意见，检查整改措施落实情况。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8.2将残疾管理纳入医院目标管理及年度工作计划。</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将残疾管理工作纳入院长目标责任制和医院年度工作计划。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制定残疾宣传及管理的具体实施方案并执行。对病情稳定的残疾患者有下转基层的工作机制，为基层医疗卫生机构上转病人预留一定比例专家号、住院床位。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有指定部门和人员负责残疾管理工作。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主管部门定期对残疾管理督导检查、分析、反馈，并检查整改落实情况。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（九）承担健康扶贫、为下级医疗机构培养卫生技术人员等政府指令性任务，制订相关的制度、方案，并有具体措施予以保障。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9.1承担政府为下级医院卫生技术人员培养的指令性任务及适宜技术项目推广任务，制订相关制度、培训方案，并有具体措施予以保障。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对政府指令的下级医疗机构卫生技术人员开展培训，有相关制度、实施计划、培训方案和具体措施予以保障，并落实。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有完整的项目培养资料，包括学员名单、授课课件、学时、考核和评价等。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有指定部门和人员负责落实下级医院技术人员培养计划。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开展适宜技术项目推广任务，制定相关项目实施计划、培训方案和具体措施并落实。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四、承担突发公共卫生事件和重大事故灾害的紧急医疗救援与紧急救治。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（十）遵守国家法律、法规，严格执行各级政府制定的应急预案，按照“平战结合、防治结合”的要求加强建设，承担突发公共卫生事件和重大事故灾害的紧急医疗救援与紧急救治。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10.1遵守国家法律、法规，按各级政府要求制定各类应急预案；承担突发公共卫生事件和重大事故灾害的紧急医疗救援与救治任务。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执行各级政府制定的应急预案；根据医院年度脆弱性分析结果及排序，制定院内各类应急预案；有应对突发公共卫生事件与重大事故灾害的紧急医疗救援与救治响应机制和启动流程；紧急救援、救治重症患者物资储备合理、完备、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医院对各级别应急预案、突发公共卫生事件、重大疫情和重大事故灾害的紧急医疗救援救治流程有持续强化培训，保证管理及对口专业队伍知晓并落实。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科室对重大事故灾害的紧急医疗救援救治，有系统总结分析和内部评价，对存在问题有改进措施并得到落实。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主管部门对培训和演练有检查与监管与反馈，定期组织突发公共卫生事件、重大事故灾害和重大疫情的紧急医疗救援救治培训与演练。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有数据或案例显示紧急救援救治专业水平不断提升，并形成新制度、规范、流程、举措。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微软雅黑" w:hAnsi="微软雅黑" w:eastAsia="微软雅黑" w:cs="微软雅黑"/>
                <w:b/>
                <w:bCs/>
                <w:sz w:val="28"/>
                <w:szCs w:val="28"/>
                <w:lang w:eastAsia="zh-CN"/>
              </w:rPr>
              <w:t>第二章  临床服务质量与安全管理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一、医疗质量管理体系和工作机制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（十一）有医疗质量管理体系，落实医疗质量管理主体责任，实行医疗质量管理院、科两级责任制。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11.1建立完整的医疗质量管理体系，落实院、科两级责任制，确保医疗质量与安全。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建立完整的医疗质量管理体系，有医疗质量管理组织架构图，能清楚地反映医疗质量管理组织架构。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医疗质量管理组织机构健全、人员构成合理、职责明确。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院、科两级履行医疗质量管理工作职责，根据医院质量方针与目标，制定并实施相应的医疗质量管理工作计划，有记录证明体系运行常态化。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11.2有质量管理方案，包括：质量管理目标、质量指标、考核项目、考核标准、考核办法等，有相关配套的措施保证方案的落实。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有医疗质量管理方案，包括：质量管理目标、质量指标、考核项目、考核标准、考核办法等，以及相配套制度。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设置独立的质量与安全管理部门，配置充足人力，并落实医疗质量管理方案。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有院、科两级医疗质量管理与监督的工作流程。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（十二）设立医疗质量管理委员会，人员组成和职责符合《医疗质量管理办法》要求。医疗质量管理委员会负责承接、配合各级质控组织开展工作，并发挥统筹协调作用。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12.1设立医疗质量管理委员会，人员组成和职责符合《医疗质量管理办法》要求，并承接、配合各级质控组织开展工作，发挥统筹协调作用。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设立医疗质量管理委员会，医疗质量管理委员会人员组成和职责符合《医疗质量管理办法》 要求，有工作制度。指定或者成立专门部门具体负责日常管理工作。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医疗质量管理委员会能在质量与安全管理中发挥决策作用。职责清晰，负责组织制定本机构质量管理制度、质量持续改进计划及实施方案，并组织实施。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医疗质量管理委员会负责承接、配合各级质控组织开展工作，并发挥统筹协调作用。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医疗质量管理委员会定期对质量与安全工作进行督导、检查、分析、反馈，并督查整改落实情况。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（十三）各业务科室成立本科室医疗质量管理工作小组，人员组成和职责符合《医疗质量管理办法》要求。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13.1各业务科室应成立本科室医疗质量管理工作小组，人员构成和职责符合国家要求，根据工作计划完成本科室质量管理活动。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有科室医疗质量管理工作小组，组长由科室主要负责人担任，有专人负责日常具体工作。成员构成及职责，符合《医疗质量管理办法》相关要求。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贯彻执行医疗质量管理相关的法律、法规、规章制度、技术规范、标准、诊疗常规及指南，定期开展培训和宣传教育。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完善本科室医疗质量管理制度，制订本科室年度质量安全工作计划与持续改进计划，并组织落实。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小组成员每月开展科内自查、每季度分析评价科室质量安全监测指标，并及时在科内反馈。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工作小组定期对科室医疗质量进行分析和评估，对医疗质量薄弱环节提出整改措施并组织实施。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主管部门定期对科室医疗质量管理工作小组进行督导、检查、分析、反馈，并督查整改落实情况。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（十四）建立健全医疗质量管理人员培训和考核制度，充分发挥专业人员在医疗质量管理工作中的作用。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14.1建立健全医疗质量管理人员培训和考核制度，充分发挥专业人员在医疗质量管理工作中的作用。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医院建立健全医疗质量管理人员培训和考核制度。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医院领导、职能部门管理人员及科室质量管理小组人员接受全面质量管理培训与教育。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专业人员能够运用质量管理方法与工具对存在问题和质量指标进行分析与评价，有改进措施并落实。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主管部门有定期检查、总结分析与整改。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（十五）遵循临床诊疗指南、医疗技术操作规范和行业标准等有关要求开展诊疗工作。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15.1各级医务人员严格依照临床诊疗指南、医疗技术操作规范、行业标准要求开展临床诊疗工作。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各科室依据国家相关标准和行业标准制定本专科临床诊疗指南和技术操作规范，并及时更新。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对医务人员开展临床诊疗指南和技术操作规范的培训，医务人员遵循指南、规范和行业标准等开展诊疗活动。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依据国家相关法律法规，建立因特殊情况下超指南规范开展诊疗活动的管理制度和审批流程，并向指定的部门备案。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（十六）开展诊疗活动应当遵循患者知情同意原则，履行告知义务，尊重患者的自主选择权和隐私权，尊重民族习惯和宗教信仰，并对患者的隐私保密。完善保护患者隐私的设施和管理措施。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16.1诊疗活动中充分履行告知义务，尊重患者选择权，保障患者合法权益。</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有尊重患者选择权等保障患者合法权益的相关制度，并定期对全体医务人员进行医患沟通、知情同意等方面的培训。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医务人员能够用患者易懂的方式、语言与患方沟通，告知充分，并取得明确同意、签署知情同意书；知情同意书随病历归档。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对于语言、文化、宗教等有差异的患者，医院有专门人员或请专门人员进行协助。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科室质量工作小组对知情告知执行情况进行自查，对存在问题有整改。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主管部门对执行情况有监管，有总结、分析、反馈，并检查整改落实情况。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患者知情同意等合法权益得到有效保护。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16.2尊重患者隐私权，尊重民族习惯和宗教信仰；完善保护患者隐私的管理措施和设施。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有保护患者隐私权和个人信息、尊重民族习惯和宗教信仰等相关制度，并对医院全体人员定期培训。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医务人员具有保护患者隐私的意识，并在诊疗活动中提供保护隐私的措施。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有私密性的诊疗场所和保护患者隐私的设施。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科室质量工作小组对隐私保护执行情况进行自查，对存在问题有整改。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主管部门对执行情况有监管、检查；能够以问题为导向进行多部门分析整改。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无因泄露患者隐私或个人信息造成重大不良影响事件发生。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（十七）建立医院全员参与、覆盖临床诊疗服务全过程的医疗质量管理与控制工作制度。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17.1建立全员参与、覆盖临床诊疗服务全过程的医疗质量管理与控制工作制度，并组织落实。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根据卫生行政主管部门相关文件和规章制度要求，制定医院诊疗活动全流程、全员参与的质量管理工作制度，并定期更新。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有医疗质量关键环节（如危急重症患者管理、围手术期管理、输血与药物管理、有创诊疗操作等）管理制度与措施。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有重点部门（重症监护室、手术室、口腔科、内窥镜室、消毒供应中心等）的管理制度与措施。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主管部门定期自查、总结分析与并整改。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（十八）熟练运用医疗质量管理工具开展医疗质量管理与自我评价，完善医疗质量管理相关指标体系，掌握本院医疗质量基础数据。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18.1院科两级熟练运用全面质量管理、PDCA循环与品管圈管理等医疗质量管理工具开展医疗质量管理与自我评价。</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医院有全面质量管理、PDCA循环、品管圈等医疗质量管理工具的培训计划并落实。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医院领导、职能部门管理人员及科室质量安全管理小组人员，掌握一种以上医疗质量管理常用工具。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职能部门及科室能够运用质量管理工具规范临床诊疗行为、统计分析质量安全指标及风险数据、重大质量缺陷等。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18.2完善医疗质量管理相关指标体系，掌握本院医疗质量基础数据。</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依据国家颁布的相关管理标准并结合本院实际，及时完善本院医疗质量管理指标体系。至少符合《二级医院评审标准（2020年版）》第二部分医疗服务能力与质量安全监测数据的管理要求。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医院对全院各临床及医技科室有明确的质量安全指标，定期衡量各科室医疗服务能力与质量水平。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有指定的部门负责收集和处理相关信息，信息数据集中归口管理，方便管理人员调阅使用。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科室定期分析质量安全监测指标变化趋势，针对负向趋势有原因分析、改进措施并落实。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职能部门定期分析质量安全监测指标变化趋势，为制订本部门质量管理与持续改进目标提供依据。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有数据或案例体现医院持续改进效果。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（十九）加强临床专科服务能力建设，重视专科协同和中西医共同发展，制订专科建设发展规划并组织实施，推行“以患者为中心，以疾病为链条”的多学科诊疗模式。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19.1医院有制订专科建设发展规划并落实。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医院有专科建设发展规划，包括：优势专科、培育专科、潜力专科的发展方案、配套支持政策、考核标准、考核办法等。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科室根据医院总体规划制定本科室专科建设发展规划，并落实。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各专科医务人员知晓本专科发展规划。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科室有按本专科规划开展工作，并定期总结分析。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主管部门定期帮助科室总结分析规划开展落实情况。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19.2推行“以患者为中心，以疾病为链条”的多学科诊疗模式。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 以患者为中心，以疾病为链条 ”的多学科诊疗模式，有管理制度与绩效配套方案，多学科诊疗活动范围明确，各专科及成员职责清晰。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多学科诊疗活动按计划开展活动并有实施记录，住院患者开展的多学科诊疗活动讨论结论应记入病程记录。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（二十）加强住院重点疾病质量管理与控制工作，建立本院重点疾病管理的指标和质量参考标准体系，促进医疗质量精细化管理。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20.1加强住院重点疾病质量管理与控制工作，建立本院住院重点疾病管理的指标和质量参考标准体系，促进医疗质量精细化管理。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依据国家颁布的相关管理要求，结合本院实际，制定住院重点疾病管理实施方案，住院重点疾病管理病种至少满足《二级医院评审标准（2020年版）》管理要求。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建立住院重点疾病管理指标和质量参考标准体系。院科两级定期对住院重点疾病过程与结果质量指标进行汇总与分析。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科室有定期对住院重点疾病过程质量开展系统追踪和个案追踪、总结分析与整改。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主管部门定期对住院重点疾病过程质量开展系统追踪和个案追踪、分析、反馈，并检查科室整改落实情况，将监控结果纳入科室工作质量评价。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（二十一）制定满意度监测指标并不断完善，定期开展患者和员工满意度监测，改善患者就医体验和员工执业感受。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21.1建立社会满意度测评体系、并不断完善，实施社会评价活动，改善患者就医体验。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医院建立社会满意度测评指标体系，有指定的主管部门负责本项工作，职责明确。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有多种渠道、定期收集院内、外对医院服务意见和建议的相关制度与流程并执行。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开展第三方社会调查与评价，并充分运用数据分析，评价和改进医院工作确保社会评价结果的客观公正。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不断提高患者满意度，医院有改善患者就医体验的计划、措施，以及持续改进分析报告。患者就医体验好。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21.2建立员工满意度评价体系，改善员工执业感受。</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建立员工满意度评价体系及相关制度。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有指定的主管部门负责本项工作，职责明确，有定期收集员工对医院服务及管理意见和建议。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员工知晓医院员工满意度测评的方式、途径。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医院对存在问题及建议有分析、提出改进措施，并检查整改、落实情况。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不断改善员工执业感受，满意度高。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21.2.6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建立全体员工满意度评价体系，员工参与度≥95%。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（二十二）建立本院各科室医疗质量内部现场检查和公示制度。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22.1建立科室医疗质量内部自查制度。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科室有医疗质量自查工作制度。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科室定期开展医疗质量内部自查工作并有相关记录。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科室定期将自查结果在科内进行点评与反馈。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22.2建立医院医疗质量内部现场检查制度。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医院有明确医疗质量内部现场检查的规范与要求。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有明确的医疗质量管理部门负责组织院内现场检查工作并有记录。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主管部门组织的现场检查中，至少有2个部门（科室）协作。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22.3建立医院医疗质量公示制度。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医院有医疗质量公示制度。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有明确的医疗质量公示内容与范围。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医院员工知晓医院公示的途径、主要内容与结果。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科室能够利用公示结果及时在科内开展质量改进。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主管部门能够利用公示结果对全院各科室开展质量分析、评价与考核。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22.3.6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（二十三）强化基于电子病历的医院信息平台建设，满足医疗质量管理与控制工作需要。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23.1医院信息平台建设以电子病历数据为基础，充分利用信息化手段开展医疗质量管理与控制。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有临床信息系统，建立基于电子病历的医院信息平台及医疗质量控制、安全管理信息数据库，有数据库管理制度，相关人员知晓并执行。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数据库除一般常规数据外，还应包括下列有关数据：合理用药、围手术期管理/医疗技术管理/医保管理等医疗质量与安全管理系统。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有指定的部门负责收集和处理相关信息，信息数据集中归口管理，方便管理人员调阅使用。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四）对医疗质量管理要求执行情况进行定期评估，对医疗质量信息数据开展内部验证并及时分析和反馈，对医疗质量问题和医疗安全风险进行预警和干预，对存在的问题及时采取有效干预措施，评估干预效果，促进医疗质量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24.1建立医疗质量数据内部验证、分析与反馈工作。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有医疗质量信息数据库、内部验证等相应管理制度与工作流程。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根据政策或行业规范等，对所采集的数据有明确的标准和准确的来源，能够做到及时更新与验证。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科室有专人对医疗数据采集质量进行自查，利用医疗质量数据开展分析与评价。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24.2有对医疗质量问题和医疗安全风险进行预警、干预的制度。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医院有对医疗质量问题和医疗安全风险进行预警、干预的制度，并落实。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院科两级有医疗质量安全的培训计划并落实，员工知晓相关内容。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主管部门定期组织开展医疗质量问题和医疗安全风险分析、讨论，及时发布预警。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科室接收到预警提醒后，及时进行干预，采取有效措施降低类似事件再次发生。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24.2.7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二、医疗质量安全核心制度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（二十五）医院应当落实《医疗质量管理办法》《医疗质量安全核心制度要点》要求，制定发布本院医疗质量安全核心制度，并组织全员培训。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25.1根据《医疗质量管理办法》《医疗质量安全核心制度要点》，结合医院实际，制订医疗质量安全核心制度，并组织全员培训。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有建立医疗质量安全核心制度且符合《医疗质量管理办法》《医疗质量安全核心制度要点》基本要求。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院科两级有医疗质量安全核心制度培训及考核计划，并落实。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各类人员知晓本岗位相关医疗质量安全核心制度及措施。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（二十六）建立首诊负责制度。明确在诊疗过程不同阶段的责任主体，保障患者诊疗服务连续性和医疗行为可追溯。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26.1建立首诊负责制度，明确首诊医师职责及诊疗过程不同阶段的责任主体。</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制定首诊负责制制度，明确首诊医师全程负责患者在一次就诊过程结束前或由其他医师接诊前的诊疗管理职责。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明确患者在诊疗过程中不同阶段的首诊责任主体；各接诊医师按病历书写规范做好医疗记录，保障患者诊疗服务的连续性和医疗行为可追溯。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急危重症需抢救的患者要转送的，应有医护人员全程陪同并积极抢救，必要时呼叫专科人员。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非本医疗机构诊疗科目范围内的疾病，首诊医师需先评估患者病情状况，病情平稳者应告知患者或其法定代理人，建议患者前往相应医疗机构就诊，并在病历中有明确记载；急危重症需抢救的患者应按规范先予以救治。对于法定传染病，要按有关法律法规和规章制度要求及时报告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医疗机构全体人员知晓首诊负责制度并在日常工作中落实。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科室有自查、分析、整改。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主管部门对首诊负责制度落实情况有监管、总结分析、反馈，并对科室落实整改情况进行检查。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26.1.8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有数据显示首诊负责制得到有效落实，无相关不良事件。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（二十七）建立三级查房制度。实行科主任领导下的三个不同级别的医师查房制度，严格明确查房周期。明确各级医师的医疗决策和实施权限。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27.1根据《医疗质量安全核心制度要点》，结合医院实际，制订三级查房制度，明确各级医师查房周期以及医疗决策、实施权限。</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有建立科主任领导下三个不同级别的医师查房制度。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有明确各级医师查房周期、医疗决策及实施权限。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有明确的医师查房行为规范。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有三级查房制度的培训，相关人员知晓基本要求并在病历中体现制度的落实。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（二十八）建立会诊制度。明确各类会诊的具体流程和时间要求，统一会诊单格式及填写规范。会诊请求人员应当陪同完成会诊，并按规定进行记录。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28.1有院内会诊管理制度与流程。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内会诊（含多学科会诊）管理相关制度与流程，包括：会诊医师资质与责任、会诊时限、会诊记录书写要求等；有规范统一的会诊单格式，并落实。加强中医、营养、康复、精神、检验、病理、影像、药学等多学科会诊参与度，提升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按病情紧急程度分急会诊和普通会诊，急会诊在会诊请求发出后10分钟内到位，普通会诊在会诊发出后24小时内完成。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会诊意见处置情况在病程记录中体现，未按会诊意见执行的应说明理由。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有会诊制度的培训，相关人员知晓基本要求并落实。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科室有对会诊情况定期自查、总结分析，对存在问题有整改。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主管部门有对会诊情况定期追踪和评价，并将评价结果纳入科室、医疗组工作质量评价。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有数据体现会诊改进效果持续提升。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28.2有本院医师外出会诊及外院医师来院会诊的管理制度和档案。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根据《医师外出会诊管理暂行规定》，制定本医疗机构医师外出会诊及邀请其他医疗机构医师来院会诊的管理制度与邀请审批流程，包括：会诊医师资质与责任等。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建立医师外出会诊和外院医师来院会诊管理档案，有违规外出会诊的处理措施。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科室有对医师外出会诊定期自查、总结分析与整改。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主管部门定期监管、分析、反馈，并检查科室整改落实情况。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（二十九）建立分级护理制度。按照国家分级护理管理相关指导原则和护理服务工作标准，规范各级别护理的内容。合理动态调整护理级别，护理级别应当明确标识。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29.1依据《综合医院分级护理指导原则（试行）》《护理分级》（WS/T431-2023）制定分级护理制度和服务标准。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依据《综合医院分级护理指导原则（试行）》、《护理分级》（WS/T431-2023），制定符合医院实际的分级护理制度。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制订符合医院实际的分级护理服务标准及评价标准，规范各级别护理的内容，统一护理级别标识。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有培训及考核，相关制度及流程能落实。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29.1.6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根据患者病情与自理能力确定护理级别，并落实到位。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30.1建立全院性医疗值班体系，明确各类值班人员的岗位职责、资质和人数，保证医院常态运行。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医院有值班与交接班制度。有建立全院性医疗值班体系，包括临床、护理、行政，以及提供诊疗支持的后勤部门。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各类值班人员有明确的岗位职责、资质和人数的要求。当值人员不得擅自离岗、休息时应在医院指定地点、确保通讯畅通，非本机构执业医务人员不得单独值班。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医院及科室值班表全院公开，值班表涵盖与患者诊疗相关的所有岗位和时间。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有值班及交接班制度的培训，相关人员知晓基本要求并落实。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30.2落实医院总值班制度，总值班人员每年接受培训并考核合格。</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有医院总值班制度及岗位职责，并指定医院总值班负责部门。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医院总值班有应急管理的明确职责和流程。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总值班人员上岗前及每年接受培训并考核合格。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医院总值班负责部门每天查看总值班交接记录，及时处理相关问题。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主管部门定期总结总值班处理问题情况，分析、反馈，并检查处理问题落实情况。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总值处理的每个问题都有跟进落实、有结果、有完整记录；有数据或案例体现改进效果。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（三十一）交接班内容应当专册记录，并由交班人员和接班人员共同签字确认。四级手术患者手术当日和急危重患者必须床旁交班。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31.1医院有统一规范的交接班记录本（专册记录），并由交班人员和接班人员共同签字确认。四级手术患者手术当日和急危重患者必须床旁交班并体现在交接班记录中。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医院交接班内容有规范统一的专册记录。交班医师与接班医师交接、管床医师与值班医师交接、床旁交接有明确的交接内容、时间及双方签字等要求。交接班记录项目完整、内容详实，符合交接班制度规范。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有四级手术患者手术当日和急危重患者床旁交班记录。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值班人员将值班期间对患者的重要处置及时记录于交接班记录及病历中。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交接班记录的规范性得到有效提升。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（三十二）建立疑难病例讨论制度。医院和科室应当确定疑难病例的范围，明确参与讨论人员范围、组成和流程要求。讨论内容专册记录，讨论结论记入病历。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32.1建立疑难病例讨论制度。医院和科室有明确的疑难病例讨论范围、组成及流程。讨论内容有统一规范的专册记录本，讨论结论及时记入病历。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有疑难病例讨论制度。超出本科室或本医院诊疗范围或能力范围时，有邀请相关科室人员或机构外人员参加疑难病例讨论的制度与流程。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科室有结合专业学科特点和诊疗常规，进一步细化、明确本科室的疑难病例识别标准。疑难病例讨论人员及流程符合管理要求。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疑难病例讨论内容有统一规范的专册记录本，讨论结论及时记入病历。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有疑难病例讨论制度的培训，相关人员知晓基本要求并落实。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（三十三）建立急危重患者抢救制度。医院和科室应当确定急危重患者的范围，医院建立抢救资源配置与紧急调配机制和绿色通道机制。抢救完成后6小时内应当将抢救记录记入病历。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33.1建立急危重患者抢救制度，确定急危重患者的范围。</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医院有建立急危重症患者抢救制度（含绿色通道），临床科室有明确本科室急危重患者的范围。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科室急危重患者抢救，由现场级别和年资最高的医师主持。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抢救完成后6小时内将抢救记录记入病历，记录时间应具体到分钟，主持抢救的人员应当审核并签字。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医务人员熟悉并执行上述制度。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科室有自查、分析、整改。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主管部门对急危重患者抢救制度落实情况有检查、分析、反馈，并检查科室落实整改情况。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有数据显示不断优化抢救流程。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33.2建立抢救资源配置与紧急调配机制。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建立抢救资源相关配置制度，根据医疗机构及区域特点配备抢救资源，并组织落实。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有抢救物资紧急调配管理机制，并定期进行演练。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医院和科室对医务人员进行相关知识培训，医务人员熟悉并执行。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科室对抢救资源的配置落实情况有自查，对发现问题及时整改。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主管部门对抢救资源配置、调配机制落实情况有检查与监管。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（三十四）建立术前讨论制度。医院应当明确不同术前讨论形式的参加人员范围和流程。科室应当明确本科室开展的各级手术术前讨论的范围并经医疗管理部门审定。术前讨论的结论记入病历。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34.1建立术前讨论制度。医院和科室有明确的术前讨论形式、范围及流程。讨论内容有统一规范的记录本（专册记录），讨论结论及时记入病历。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有术前讨论制度，明确住院手术病人术前讨论形式、范围及流程。将日间手术、内镜下手术等高危有创操作或手术纳入术前讨论范围。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科室术前讨论人员及流程符合管理要求。讨论结论及时记入病历。手术医嘱在术前讨论完成后开具，并签署手术知情同意书。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住院患者术前讨论结论应包括：临床诊断、手术指征、拟行术式及替代治疗方案、麻醉方式、术中术后可能出现的风险及应对措施、特殊的术前准备内容、术中术后应当充分注意的事项等。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有术前讨论制度的培训，相关人员知晓基本要求并落实。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（三十五）建立死亡病例讨论制度。医院应当监测全院死亡病例并及时进行汇总分析，提出持续改进意见。死亡病例讨论范围、参加人员、时限和记录应当符合规定。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35.1建立死亡病例讨论制度，要求明确并符合规范。定期汇总分析全院死亡病例，对存在问题提出改进措施。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建立死亡病例讨论制度，讨论内容包括死亡原因、死亡诊断、诊疗过程，同时明确讨论范围、参加人员、时限和记录要求等。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死亡病例讨论在患者死亡后1周内完成，尸检病例在尸检报告出具后1周内再次讨论；死亡讨论由科主任主持，在全科范围内进行。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讨论详细情况专册记录，讨论结果记入病历，由主持人审核并签字。医院制定统一记录模板，并落实。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医院和科室对医务人员进行相关知识培训，医务人员熟悉并执行上述制度。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科室定期对死亡病例进行总结分析，对制度落实情况有自查、对存在问题有整改。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主管部门定期对全院死亡病例进行汇总分析，每年召集一次全院死亡病例讨论、总结、分析、反馈，并检查科室落实整改情况。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35.1.7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死亡病例讨论制度得到有效落实。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（三十六）建立查对制度。医院查对制度应该涵盖患者身份识别、临床诊疗行为、设备设施运行和医疗环境安全等方面。医疗器械、设施、药品、标本等查对要求按照国家有关规定和标准执行。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36.1对就诊患者身份施行唯一标识（医保卡、新型农村合作医疗卡编号、身份证号码、病历号等）管理。使用“腕带”作为识别患者身份的标识。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有门诊就诊患者及住院患者的身份标识制度，全院诊疗区域统一执行。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使用“腕带”作为识别患者身份的标识。对传染病、药物过敏等特殊患者有标识（腕带与床头卡），住院病历实行唯一标识管理。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组织相关内容培训、考核。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患者的身份标识制度落实到位。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36.2建立查对制度，在诊疗活动中，严格执行相关内容并督导、改进。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诊疗活动时有明确的查对制度、流程。（如：康复治疗、标本采集、给药、输血或血制品、发放特殊饮食、转交接、特殊情况身份识别等）。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诊疗活动中查对应符合管理规范，查对内容应涵盖患者身份、诊疗措施、环境、设备安全等方面，查对方式正确。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相关人员熟悉上述制度和流程并执行。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36.3保障仪器、设备设施运行和医疗环境安全，医疗器械、设施、药品、标本等查对要求按照国家有关规定和标准执行。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有保障常用仪器、设备和抢救物品使用的制度与流程。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各临床专科有日常使用仪器、设备目录及操作规程和使用培训考核。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护理人员能熟练按流程使用输液泵、注射泵、监护仪、除颤仪、心电图机、吸引器等设备。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科室对护理人员常用仪器和抢救设备操作能力有自查，对存在问题有整改。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36.3.6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（三十七）建立手术安全核查制度。建立手术安全核查制度和标准化流程。手术安全核查过程和内容按国家有关规定执行。手术安全核查表纳入病历。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37.1依据国家相关规范，建立手术安全核查制度和标准化流程，并严格执行。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依据国家有关规定制定手术安全核查制度和标准化核查流程，有统一格式的手术安全核查表。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医院对手术部位标识方法有统一明确规定，在患者送达手术室前已完成手术部位标识。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手术医师、麻醉师、巡回护士按流程在麻醉实施前、手术开始前、患者离开手术室前实行手术安全核查并完成手术安全核查表填写。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所有手术均需进行安全核查，手术安全核查表随病历归档。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所有手术病人手术安全核查表填写完整，无原则性错误。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八）建立手术分级管理制度。建立手术分级管理工作制度和手术分级管理目录。建立手术分级授权管理机制和手术医师技术档案。医院应当对手术医师能力进行定期评估，根据评估结果对手术权限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38.1建立手术分级管理制度和手术分级管理目录；建立手术医师技术档案，动态管理。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医院有手术分级管理制度和手术分级管理目录并及时更新，麻醉、腔镜等高风险操作技术纳入手术分级管理范畴，并组织实施。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手术分级授权落实到每一位医生并实行动态管理（详见第五十四条）。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对相关岗位人员进行培训，相关人员熟悉要求并落实。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科室对制度的执行情况有自查，对存在问题有整改。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主管部门对手术分级管理工作有监管，定期总结分析、反馈，并检查科室整改落实情况。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有数据或案例显示改进效果，手术医师技术档案资料完整。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十九）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39.1建立新技术和新项目准入制度。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有临床新技术、新项目准入管理制度，包括立项、论证、风险评估、审批、不良事件报告、追踪、评价、转常规技术等管理程序。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建立本院的新技术、新项目目录和管理档案并定期更新。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科室有培训记录，人员知晓本科室开展的新技术、新项目要求，管理档案规范、资料齐全。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科室对本专业开展的新技术和新项目有完整资料保管。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主管部门全程监管，对存在的问题有反馈、整改，效果持续提升。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39.2建立新技术和新项目审批流程，所有新技术和新项目需经本院医学伦理委员会和医疗技术临床应用管理委员会审核。</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有新技术和新项目审批流程，包括医学伦理审查和技术审查流程。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医院所有新开展的技术和项目严格按照流程进行审核，医学伦理委员会和医疗技术临床应用管理委员会审核通过后才能开展，审查结果可供临床方便查询。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医院和科室有培训，相关人员知晓并落实。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科室对诊疗新技术有阶段总结、定期评估，资料完整。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39.2.5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主管部门有监管、总结分析、反馈。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明确开展新技术和新项目临床应用的专业人员范围、认证可能存在的安全隐患或技术风险并制定相应预案。建立新技术和新项目临床应用动态评估制度，对新技术和新项目实施全程追踪管理、质量控制和动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40.1明确开展新技术和新项目临床应用的专业人员范围、可能存在的风险，并制定相应预案。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明确规定开展新技术和新项目临床应用的专业人员范围和资质，医院医疗技术临床应用管理委员会对其技术能力进行评估，并有资质授权。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科室核心技术小组根据本科室的具体情况，对新技术新项目可能存在的安全隐患和技术风险有预判。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针对安全隐患或技术风险有制定相应预案并落实。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主管部门有监管，总结分析、反馈，并检查科室落实整改情况。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无因为存在的安全隐患发生重大事件。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40.2建立新技术和新项目开展的全程管理、质量控制及动态评估制度。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新技术和新项目申报、开展及开展后疗效观察的全过程管理、质量控制制度；监管内容包括诊疗病例数、适应证掌握情况、临床效果、并发症和不良反应情况等；有需要及时报告管理部门及中止开展的情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新技术和新项目开展情况动态评估制度，主要评估质量安全情况和技术保证能力，并根据评估结果及时调整新技术和新项目的开展和监管，对存在严重质量安全问题或者不再符合有关技术管理要求的，应立即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首次评估应在新技术和新项目开始使用6个月内进行，根据新技术和新项目特点和开展例数等情况，每6个月至1年评估一次，转为常规技术前，至少有两次以上评估。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开展的新技术和新项目，实行科室主任负责制，科室全体医务人员知晓并落实。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科室对新技术和新项目的开展情况有自查、分析，对存在问题有整改，并有完整记录。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主管部门有监管，有总结分析、反馈，并检查科室落实整改情况，效果持续提升。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四十一）建立危急值报告制度。制定可能危及患者生命的各项检查、检验结果危急值清单并定期调整。分别建立住院和门急诊患者危急值报告具体流程和记录规范，确保危急值信息传递各环节无缝对接和关键要素可追溯。临床危急值信息专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41.1根据医院实际情况确定“危急值”项目，建立“危急值”管理制度与工作流程。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有危急值报告制度与流程。外送标本或检查项目存在危急值项目的，医院与相关机构有建立危急值通知方式及可追溯的危急值报告流程，确保临床科室或患方能够在规定时间内及时接收危急值。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41.1.2</w:t>
            </w:r>
          </w:p>
        </w:tc>
        <w:tc>
          <w:tcPr>
            <w:tcW w:w="6978" w:type="dxa"/>
            <w:gridSpan w:val="2"/>
            <w:shd w:val="clear" w:color="auto" w:fill="auto"/>
          </w:tcPr>
          <w:p>
            <w:pPr>
              <w:spacing w:line="240" w:lineRule="exact"/>
              <w:textAlignment w:val="top"/>
              <w:rPr>
                <w:rFonts w:ascii="仿宋_GB2312" w:hAnsi="宋体" w:eastAsia="仿宋_GB2312" w:cs="仿宋_GB2312"/>
                <w:sz w:val="24"/>
                <w:szCs w:val="24"/>
              </w:rPr>
            </w:pPr>
            <w:r>
              <w:rPr>
                <w:rFonts w:hint="eastAsia" w:ascii="仿宋_GB2312" w:hAnsi="宋体" w:eastAsia="仿宋_GB2312" w:cs="仿宋_GB2312"/>
                <w:sz w:val="24"/>
                <w:szCs w:val="24"/>
                <w:lang w:eastAsia="zh-CN"/>
              </w:rPr>
              <w:t>有建立可能危及患者生命的危急值清单（含检验、临床实验室、病理、医学影像、电生理检查与内窥镜、血药浓度监测、临床POCT项目等），并向全院公布。危急值清单能够定期调整。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医院有统一规范的危急值信息登记专册及模板，确保危急值信息报告全流程的人员、时间、内容等关键要素可追溯。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有危急值报告制度与流程的培训，相关人员知晓基本要求并落实。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医院有数据或案例或新的制度流程体现改进效果。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41.2科室严格执行“危急值”报告制度与流程。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检查、检验部门相关人员知晓危急值核对、复检与报告流程，保证检查检验结果准确性，及时准确向临床发出危急值信息，并完善登记。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临床医护人员接获危急值信息时，核对患者基本信息、复读与确认危急值结果、完善危急值信息登记，并立即向经治或值班医师报告。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临床医师接获危急值报告后在规定时间内诊察患者，按临床诊疗规范及时对患者进行相应处置，书写病程记录并做好交接班。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41.2.6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二）建立病历管理制度。严格落实国家有关法律法规以及病历书写、分类编码、管理与应用相关规定，建立门急诊及住院病历规范书写、管理和质量控制制度。医院应当保障病历资料安全，病历内容记录与修改信息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42.1按照法律、法规及相关规定制订病历管理制度，人员配备合理。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有病历书写、管理和应用管理制度，且符合国家有关法律法规及相关规定管理要求。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设置病案管理部门，配备专(兼)职从事医疗或管理的高级职称，或中级职称且从事病案管理五年以上的人员负责病案科（室）病历和病案管理工作，人员配置满足工作需要。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有病案管理专业医疗质量控制指标监测。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42.2按照《病历书写基本规范》，书写门诊、急诊、住院病历，病历书写符合规范。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对来院就诊患者（门诊、急诊、住院）建立基本信息，书写和建立相关病历（包括急诊留观患者的急诊留观病历）。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住院患者有姓名索引系统，内容至少包括：病案号、姓名、性别、出生日期（或年龄）、有效身份证件号。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为同一患者病历建立唯一的标识号码，通过同一患者的病历编号可获得其所有以前的住院病历资料。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42.3建立病历质量检查、评估与反馈机制，确保病历书写客观、真实、准确、及时、完整、规范。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历质量检查、评估与反馈机制，有病历质量控制指标，重点强化管理首次病程记录、知情同意书、上级医师查房、手术记录、阶段小结、出院小结等反映诊疗计划和关键过程的病历内容，提升医务人员医疗质量安全意识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有明确的门诊、急诊、住院的病历书写格式、 内容和时限要求，推行门（急）诊结构化病历，提高门（急）诊病历记录规范性和完整性，提高门（急）诊电子病历使用比例。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有病历书写基本规范的培训，相关人员知晓基本要求并落实。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主管部门定期督导检查、分析、反馈，并将监控结果纳入科室、医疗组、医师工作质量评价。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42.4按《医疗机构病历管理规定》保存病历资料, 以保证病历及时归档，保障病历安全。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有保障病案存放的合理空间，病历保存符合管理要求。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病案查阅、借阅和归档期限有明确的规定，未归的病案有催还记录。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患者出院后，住院病历5个工作日之内归档率达≥90%。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病案部门有定期自查、总结分析与整改。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42.5加强安全管理，保护病案及信息的安全措施到位。</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有保护病案及信息安全的相关制度和应急预案，并组织开展培训与演练。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有指定专人负责安全管理。病案库有防火、防盗、防尘、防湿、防蛀、防高温措施，并配置相应的消防器材，符合消防安全规范。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工作人员知晓应急预案及处置流程。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42.5.6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42.6采用国家卫生健康委发布的《疾病分类与代码国家临床版2.0》和《手术操作分类代码国家临床版3.0》分别对疾病和手术名称进行编码。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对出院病案进行疾病分类编码，编码符合《疾病分类与代码国家临床版2.0》和《手术操作分类代码国家临床版3.0》的管理规定。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疾病分类编码人员有资质与技能要求，编码人员均要接受编码培训并获得培训证书。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有对临床医师开展疾病分类与手术操作分类编码规则的培训计划并落实。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编码人员定期对临床科室疾病与手术填写准确性开展检查、分析与反馈，不断提高临床医师首页填写质量。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病案科（室）定期对编码员编码质量开展检查、分析与反馈，不断提高编码员工作质量。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42.6.6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42.7建立出院病案信息查询系统，加强对病案首页数据质量监控，确保数据的真实、准确、完整。</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42.7.1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有出院病案信息查询系统，病案首页所有资料信息全部录入，至少能为检查提供3年及以上完整信息。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42.7.2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根据病案首页内容的任意项目，可以单一或两个以上项目复合查询住院病案信息。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42.7.3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有病案首页数据质量考评标准及具体措施保障病案首页内容填写完整、准确。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42.7.4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42.7.5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42.8有病案服务管理制度，为医院医务人员及管理人员、患者及其代理人、有关司法机关及医疗保险机构人员提供病案服务。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有病案服务管理制度，有明确的服务规范与流程。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有依照法律、法规和规章为患者及其授权委托人、司法机关和人力资源社会保障、保险以及负责医疗事故技术鉴定的人员提供病案服务，履行查阅、借阅、复制申请核查与病案信息核查程序。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有回避与保护患者隐私的规范与措施。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有完整的病案服务登记信息，包括：查阅、借阅人、借阅与归还时间、借阅目的以及复制的内容，保留相关借阅、复印或复制人的申请、身份证明、单位介绍信等资料。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42.8.6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42.9充分发挥病案管理组织机构作用，完善相关管理工作制度与机制，制订与实施本机构病案首页规范化填报技术指南，不断提高病案首页主要诊断编码正确率。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有病案首页质量管理制度及考评标准，制订本机构病案首页规范化填报技术指南，有明确的主要诊断选择原则、ICD编码原则等内容。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有定期围绕病案首页规范化填报、质量监测等开展宣教培训，医师和病案管理人员知晓并落实。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有建立制度化、常态化、多部门协作的监测及评价机制，定期开展监控、分析与评价。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病案主管部门定期对编码员开展培训与考核，按照国家统一发布的疾病分类代码准确进行编码。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科室定期对本科室住院病案首页中主要诊断准确选择和规范填写情况进行自查，运用质量管理工具分析原因、提出改进措施并落实。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病案主管部门定期对各科室住院病案首页中主要诊断准确选择和规范填写的情况开展督查、分析与反馈，并将目标改进情况纳入科室绩效管理。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42.9.7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有数据或案例体现病案首页主要诊断编码正确率的改进效果。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42.10有康复专科治疗文书书写内容及管理制度，记录和反映康复诊疗过程。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有康复诊疗计划书、康复评价记录、康复治疗记录等康复专科治疗文书内容，并有相关书写管理制度。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有康复治疗文书质量检查、评估与反馈机制，有质量控制指标。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有康复治疗文书书写规范的培训，相关人员知晓基本要求并落实。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主管部门定期督导检查、分析、反馈，并将监控结果纳入科室、治疗师工作质量评价。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42.10.6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5" w:type="dxa"/>
          <w:trHeight w:val="920" w:hRule="atLeast"/>
          <w:jc w:val="center"/>
        </w:trPr>
        <w:tc>
          <w:tcPr>
            <w:tcW w:w="9675" w:type="dxa"/>
            <w:gridSpan w:val="3"/>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（四十三）实施电子病历的医院，应当建立电子病历的建立、记录、修改、使用、存储、传输、质控、安全等级保护等管理制度。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43.1完善电子病历的建立、记录、修改、使用、存储、传输、质控、安全等级保护等管理制度。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有符合《电子病历应用管理规范（试行）》的电子病历系统，对电子病历的建立、记录、修改、使用、存储、传输、质控、安全等级保护等管理制度。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电子病历系统应当为操作人员提供专有的身份标识和识别手段，并设置有相应权限。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电子病历随患者出院经上级医师审核确认后，应及时转为归档状态。归档后不能修改。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电子病历系统应当设置医务人员审查、修改的权限和时限。医务人员修改住院电子病历时，系统应当进行身份识别、保存历次修改痕迹、标记准确的修改时间和修改人信息。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电子病历系统应当为患者建立个人信息数据库，授予唯一标识号码并确保与患者的医疗记录相对应。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医疗机构应当按照病历管理相关规定，在患者门、急诊就诊结束或出院后，适时将电子病历转为归档状态。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43.2 电子病历系统具备病案质量控制功能，满足医院病案基本信息采集、医疗质量指标数据统计与分析。</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医疗机构应当成立电子病历管理部门并配备专职人员，具体负责本机构门（急）诊电子病历和住院电子病历的收集、保存、调阅、复制等管理工作。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电子病历系统具备病案质量控制功能，满足医院病案基本信息采集、医疗质量指标数据统计与分析。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科室对电子病历系统嵌入临床路径、临床诊疗指南、技术规范和用药指南、发挥临床诊疗决策支持功能等有定期自查、总结分析。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43.3实施电子病历的医院，建立电子病历的质控、安全等级保护等管理制度。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落实信息安全管理制度。严格管理患者信息和诊疗数据，防控患者医疗信息泄露风险，做好医疗数据安全存储和容灾备份。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落实信息安全管理制度。严格管理患者信息和诊疗数据，防控患者医疗信息泄露风险，做好医疗数据安全存储和容灾备份。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43.3.3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实现电子病历信息化诊疗服务环节全覆盖，保障临床诊疗决策支持功能，电子病历应用水平分级评价达到3级或以上，医院信息互联互通标准化成熟度测评3级或以上水平。医院信息安全等级保护为二级或以上。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5" w:type="dxa"/>
          <w:trHeight w:val="1340" w:hRule="atLeast"/>
          <w:jc w:val="center"/>
        </w:trPr>
        <w:tc>
          <w:tcPr>
            <w:tcW w:w="9675" w:type="dxa"/>
            <w:gridSpan w:val="3"/>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四）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44.1依据《抗菌药物临床应用管理办法》、《抗菌药物临床应用指导原则》等要求，建立抗菌药物临床合理应用的组织，制定章程和管理制度，明确职责，确保抗菌药物临床应用管理得到有效行政支  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医院药事管理组织设立抗菌药物管理工作组和临床应用管理专业技术团队，人员构成、职责任务和管理工作符合《抗菌药物临床应用管理办法》相关要求。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依据抗菌药物管理相关的法律法规及规章，制定抗菌药物管理制度并落实执行。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医院对临床科室抗菌药物的使用制定合理的管理指标，实行责任制管理。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医务、药学等部门共同负责日常管理工作，并定期对医务人员进行抗菌药物合理应用相关知识培训、考核。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临床科室对责任状、管理指标的执行情况有定期自查、分析、整改。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抗菌药物管理各项质控指标符合国家要求，有数据、案例体现改进效果或形成新制度、规范、流程、举措等。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44.2结合本院实际情况制定抗菌药物临床应用和管理实施细则，对抗菌药物使用实施分级管理。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有抗菌药物临床应用和管理实施细则及抗菌药物分级管理制度，有明确的医师抗菌药物处方权限和医师会诊权限，有明确的特殊使用级抗菌药物临床应用程序。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利用信息化管理手段落实抗菌药物分级管理。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有抗菌药物临床应用的监测与评价制度，有评价标准；对不合理使用有检查、干预和改进措施。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有检验、院感、药学三方联合完成的细菌耐药情况分析与和通报机制，至少每半年一次。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相关部门对抗菌药物分级管理和使用情况进行全程联合监管，对存在问题有反馈，并检查科室整改落实情况，必要时予以干预。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44.3严格执行国家有关围手术期预防性应用抗菌药物管理的相关规定，落实各类手术（特别是Ⅰ类清洁切口）预防性应用抗菌药物的有关规定。</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有围手术期预防性应用抗菌药物管理制度，重点关注Ⅰ类切口手术的预防用药。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预防性使用抗菌药物的品种选择符合规定。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有措施落实预防性使用抗菌药物用药时机、疗程、术中追加的相关规定。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临床科室对各类手术及围术期抗菌药物临床应用情况有定期自查、总结分析、整改。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44.4加强抗菌药物购用管理。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制定合理的医院抗菌药物采购目录，品种、品规符合规定；凡采购目录发生变化时，需向发证的卫生行政部门备案。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目录外抗菌药物临时采购符合规定。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无外购抗菌药物的情况。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药学部对抗菌药物购用情况有定期自查、总结分析、整改。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44.5制定抗菌药物治疗性用药前病原学送检制度与监管评价机制，通过完善管理和培训，提高住院患者抗菌药物治疗前病原学送检率。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按照《抗菌药物临床应用管理办法》完善管理组织架构的基础上，成立由医务、药学、临床科室、检验、院感、护理等部门组成的专项工作小组，明确职责并开展相关工作。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实际情况制订医院抗菌药物治疗性用药前病原学送检制度与监管程序，并在医院内部定期进行相关工作的培训与再教育，病原学检验项目包括：细菌培养、真菌培养；降钙素原检测、白介素-6检测、真菌1-3-β-D葡聚糖检测（G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临床科室有明确的住院患者抗菌药物治疗前病原学送检率指标要求；有监测及评价机制，明确相关质控指标数据采集方法与数据内部验证程序，按科室进行医院数据分析、反馈，并将目标改进情况纳入绩效管理，建立激励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科室定期对抗菌药物治疗性用药前病原学送检情况进行自查、总结分析及改进。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主管部门运用质量管理工具，查找、分析影响医院实现目标完成的因素，提出改进措施并落实。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44.5.6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全院住院患者抗菌药物治疗前病原学送检率达到预期目标，有数据或案例体现改进效果。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5" w:type="dxa"/>
          <w:trHeight w:val="1160" w:hRule="atLeast"/>
          <w:jc w:val="center"/>
        </w:trPr>
        <w:tc>
          <w:tcPr>
            <w:tcW w:w="9675" w:type="dxa"/>
            <w:gridSpan w:val="3"/>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四十五）建立临床用血审核制度。应当严格落实国家关于医疗机构临床用血的有关规定，设立临床用血管理委员会或工作组，制定本院临床合理用血管理制度，完善管理机制和具体流程。保障急救用血治疗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45.1设立临床用血管理委员会，履行工作职能。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设立临床用血管理委员会，主任委员由院长或分管医疗的副院长担任，成员组成包括医疗管理、临床、输血、麻醉、护理、检验等相关专业的负责人和专家。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临床用血管理委员会职责明确，符合《医疗机构临床用血管理办法》并切合本院实际。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临床用血管理委员会履行职责，定期召开工作会议，内容充实，记录齐全，保证临床用血质量与安全。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医务、输血部门共同负责临床合理用血日常管理工作。定期对输血管理现状进行分析，对存在问题有反馈、整改。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对卫生行政部门检查中发现的问题，及时整改，并调整完善工作计划和内容。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45.2落实临床用血申请、申请审核制度，履行用血报批手续。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有临床用血申请和申请审核制度，包括：申请备血量和医师权限、适应症判断、审核程序及紧急用血报批手续等，并执行。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用血的申请单格式规范，书写符合要求，信息记录完整。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对临床单例患者一天用全血或红细胞超过1600ml（8U）有主管部门审核并批准。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（四十六）建立信息安全管理制度。明确医院主要负责人是患者诊疗信息安全管理第一责任人，依法依规建立覆盖患者诊疗信息管理全流程的制度和技术保障体系。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46.1建立信息安全管理制度，有患者诊疗信息全流程管理的制度和技术保障体系。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严格执行国家信息安全等级保护制度，有信息安全管理制度和防护体系建设，分级管理；系统运行稳定，有防灾备份系统，实行网络运行监控，并有效落实。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医疗信息安全管理组织架构清晰，医疗机构主要负责人是医疗机构患者诊疗信息安全管理第一责任人。信息系统安全保护等级不低于第三级。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建立患者诊疗信息安全风险评估和应急工作机制，制定应急预案，并定期演练。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信息部门全体人员知晓各项制度并在日常工作中落实。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科室对日常使用信息系统及设备安全行为有定期自查、总结分析、整改。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46.1.7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七）确保实现本院患者诊疗信息管理全流程的安全性、真实性、连续性、完整性、稳定性、时效性、溯源性。对员工使用患者诊疗信息实行授权管理，明晰权责，为员工使用患者诊疗信息提供便利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47.1确保实现本机构患者诊疗信息管理全流程的安全性、真实性、连续性、完整性、稳定性、时效性、溯源性。</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有保障患者诊疗信息管理全流程安全性、真实性、连续性、完整性、稳定性、时效性、溯源性的相关制度和保障措施；对不同数据资料制定不同的保护路径。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建立员工分级授权管理制度，明确员工的患者诊疗信息使用权限和相关责任；采用身份认证、权限控制（包括数据库和运用系统）、患者数据使用控制等方法保障网络信息安全和保护患者隐私。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建立患者诊疗信息系统安全事故责任管理、追溯机制。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信息部门全体员工知晓相关制度并落实。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科室对信息安全执行情况有定期自查、总结分析、整改。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有数据体现改进效果，未发生重大信息安全事件。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三、医疗技术临床应用管理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（四十八）医院开展医疗技术服务应当与其技术能力相适应。医疗技术临床应用应当遵循科学、安全、规范、有效、经济、符合伦理的原则。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48.1各专科开展的医疗技术服务应与科室技术能力相适应，医疗技术临床应用应遵循科学、安全、规范、有效、经济、符合伦理的原则。</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医院根据服务能力和诊疗科目许可制定本院的医疗技术目录，各专科开展的医疗技术服务应与本科室技术能力相适应。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医院开展的限制类技术，按规定报送卫生行政部门备案。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开展的医疗技术临床应用应当遵循科学、安全、规范、有效、经济、符合伦理的原则。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科室对本专业医疗技术开展情况有分析总结，对存在问题有整改。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主管部门对医院开展的医疗技术临床应用有全程监管。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有数据或案例显示专科医疗技术服务能力及服务质量持续提升。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（四十九）医院在医疗质量管理委员会下设立医疗技术临床应用管理专门组织。人员组成和功能任务符合《医疗技术临床应用管理办法》要求。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49.1设立医疗技术临床应用管理委员会，人员组成和功能任务符合《医疗技术临床应用管理办法》要求。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49.1.1</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有本机构医疗质量管理委员会下的医疗技术临床应用管理委员会，人员组成和职责功能任务符合《医疗技术临床应用管理办法》要求，并根据医院人事变动、政策变化等进行相应调整更新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管理组织委员会每年至少召开二次管理会议，按功能职责讨论、审核、论证医院医疗技术临床应用各项工作开展情况并有相关决策，会议记录完整。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医务部门负责医疗技术临床应用的日常管理工作，落实医疗技术临床应用管理委员会作出的各项决策。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医务部门有对医疗技术临床应用的日常管理工作情况进行自查、总结，对存在问题进行分析、整改，并汇报医院领导。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49.1.5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根据医疗技术临床应用管理委员会的决策形成新制度、规范、流程等。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（五十）医院开展医疗技术临床应用应当具有符合要求的诊疗科目、人员、设备、设施和质量控制体系，并遵守相关技术临床应用管理规范。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50.1开展医疗技术需符合诊疗科目要求，有质量控制体系，并遵守临床应用管理规范。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医院开展医疗技术临床应用应当符合医院执业许可证中诊疗科目范围要求，人员配置符合医疗技术开展要求并有相应资质，设备、设施统一由医院采购并符合国家要求。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所有在院开展的医疗技术均应有诊疗规范和操作流程，并根据国家相关规范及时更新、标明出处。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医务人员熟悉医疗技术临床应用管理规定，遵守相关技术临床应用管理规范。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职能部门对医院开展的医疗技术是否符合诊疗科目、人员资质、质控管理指标完成等情况有督导检查，对发现问题及时反馈并跟进整改情况。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医院开展的每项医疗技术均有对应的诊疗科目、人员资质要求和质控指标，并资料完整。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根据医院实际情况更新质控指标；无超诊疗科目开展医疗技术。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（五十一）医院开展限制类医疗技术，应当按照《医疗技术临床应用管理办法》履行自我评估和备案程序。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51.1按照《医疗技术临床应用管理办法》，开展限制类医疗技术，需履行自我评估和备案程序。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按照《医疗技术临床应用管理办法》，医院有开展限制类医疗技术的专项管理规定，有国家及省的限制类技术目录、本院已开展的限制类技术目录，有本院限制类技术开展前的评估流程和开展后的监管办法等。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限制类医疗技术的自我评估内容应包含且不限于基本要求、硬件条件、人员资质等是否符合要求、可能发生的风险、意外及处置预案等；评估流程应符合本院实际，科学、合理、可行、完整，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符合条件开展的限制类医疗技术，应于开展首例临床应用之日起15个工作日内，向核发本院《执业许可证》的卫生行政部门备案；备案材料符合《医疗技术临床应用管理办法》要求。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主管部门相关人员和临床医务人员了解相关的限制类技术目录及开展自我评估和备案的要求，并在日常工作中按要求执行。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主管部门有对医院开展限制类技术的评估和备案情况进行自查、监管，对存在问题有总结、分析、反馈、整改。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无未经评估和备案就开展的限制类技术。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（五十二）未经伦理委员会审查通过的医疗技术，特别是限制类医疗技术和存在重大伦理风险的医疗技术，不得应用于临床。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52.1严格管理医疗技术临床应用，未经伦理委员会审查通过的医疗技术，不得应用于临床。</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医疗技术临床应用开展需经伦理委员会审查，审查内容包括医疗技术是否符合伦理要求、是否存在伦理问题、伦理风险等。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新开展的医疗技术临床应用有医院审批批件，批件需包含伦理委员会审查通过意见。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临床医务人员对医院医疗技术临床应用伦理审批制度和流程熟悉并执行。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主管部门对全院医疗技术临床应用伦理审核情况有监管，对存在问题有处理、整改。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无未经伦理委员会审批通过就开展的医疗技术。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（五十三）制定本机构医疗技术临床应用管理目录并及时调整，对目录内的手术进行分级管理。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53.1有本机构医疗技术临床应用管理目录并及时调整。</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有本医疗机构医疗技术临床应用管理目录，目录内的手术进行分级管理（手术分级管理详见第三十八条）。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医院有已开展和新开展的医疗技术目录，目录中，特别是新开展的医疗技术目录需有医疗技术首例开展日期，目录体现分级、分类管理并及时动态调整，限制类技术目录需单列。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将本机构医疗技术临床应用管理目录及动态调整情况纳入“院务公开”范围发布。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主管部门对医疗技术管理落实情况有监管、总结、反馈及整改。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管理目录完整并及时调整更新，无目录外医疗技术临床应用。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（五十四）建立医师手术授权与动态管理制度，根据医师的专业能力、临床实践、手术质量安全和培训情况，授予或者取消相应的手术级别和具体手术项目权限。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54.1建立适合本机构的医师手术授权与动态管理制度。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有手术医师资质与授权管理制度，医师手术授权需明确到具体手术项目；有紧急状态下的越级手术审核制度，并建立周期性医师手术能力评价与再授权机制。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根据医师的专业能力、临床工作开展情况、手术质量与安全指标、专业技能培训等情况，结合本人技术职称、临床工作年限等进行手术授权及再授权动态管理，再授权周期不超于2年一次。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对不符合要求的手术医师，有下调直至取消手术级别的动态管理。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各级医师知晓手术授权及再授权制度并落实执行。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科室对医师手术授权进行有效管理，对存在问题有及时整改。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主管部门对医师手术授权与动态管理工作有督导，对存在问题有分析、总结、反馈，提出整改意见并检查整改落实情况。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医师手术授权与动态管理资料完整，无违规越级手术等情况。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（五十五）医院依法准予医务人员实施与其专业能力相适应的医疗技术，并为医务人员建立医疗技术临床应用管理档案，纳入个人专业技术档案管理。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55.1医院依法准予医务人员开展与其专业能力相适应的医疗技术，并建立医疗技术临床应用档案，纳入个人专业技术档案管理。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医院依《执业医师法》等相关法律法规，制定医务人员实施与其专业能力相适应的医疗技术管理制度、审批流程及考核机制。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有指定部门负责为医务人员建立医疗技术临床应用管理档案，需明确依法授予的执业范围，并纳入个人专业技术档案管理。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个人专业技术档案包括但不限于医师资格证、执业证、职称证、学历学位证、准予医务人员开展的医疗技术目录、进修和培训考核情况、医疗质量情况、年度考核结果、医疗技术差错事故情况等。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科室对照医院相关制度每年进行一次医务人员实施与其专业能力相适应的医疗技术评估状况，及时动态调整。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主管部门督导科室执行制度的情况和医务人员个人专业技术档案管理情况，对存在问题进行分析、反馈，并落实整改。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监管资料和个人技术档案资料完整，无超范围执业等情况。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（五十六）建立医疗技术临床应用论证制度。对已证明安全有效，但属本院首次应用的医疗技术，应当组织开展技术能力和安全保障能力论证并进行伦理审查。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56.1建立医疗技术临床应用论证制度。本院首次应用的医疗技术，按新技术开展规范进行论证，并伦理审查。</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有建立医疗技术临床应用论证制度，明确准入、申报、审批、反馈、退出等流程，并针对可能存在的风险制定处置预案。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对本院首次临床应用的医疗技术，包括外院已证明安全有效，但属本院首次应用的医疗技术，需经本机构医疗技术管理委员会对技术能力和安全保障能力进行论证，并经伦理审查，通过论证的方可在临床开展。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医务人员熟知医疗技术临床应用论证制度，并认真落实。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主管部门督导检查科室落实规范、制度的情况，对存在问题进行总结、分析、反馈，提出整改意见并检查整改落实情况。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监管资料完整，无违规擅自开展医疗技术案例。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（五十七）建立医疗技术临床应用评估制度，对限制类技术的质量安全和技术保证能力进行重点评估，并根据评估结果及时调整本院医疗技术临床应用管理目录、医师相关技术临床应用权限和有关管理要求。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57.1建立医疗技术临床应用评估制度，根据评估结果及时动态调整医疗技术临床应用管理目录、医师相关技术临床应用权限等。</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建立全院医疗技术临床应用评估制度，对限制类技术的质量安全和技术保证能力进行重点评估。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根据评估结果动态调整本院医疗技术临床应用管理目录、医师相关技术临床应用权限。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对禁止类技术、存在严重质量安全问题或者不再符合有关技术管理要求的，立即停止临床应用，并有相关记录。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科室有定期开展自查自纠工作，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主管部门履行监管职责，对医疗技术临床应用进行动态的全程追踪评估管理。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（五十八）建立医疗技术临床应用质量控制制度，以限制类技术为重点，制定本院医疗技术质量控制指标，加强信息收集、分析与反馈，持续改进技术临床应用质量。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58.1建立医疗技术临床应用质量控制制度，制定质量控制指标，持续改进技术临床应用质量。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建立医疗技术临床应用质量控制制度，覆盖医疗技术临床应用的全过程。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以限制类技术为重点，制定符合国家和省级管理要求的本院医疗技术质量控制指标，内容包括但不限于日常数据监控、患者适应症和禁忌症判断、临床应用效果和患者生存质量、并发症发生情况、设备设施使用情况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科室关注医疗技术日常开展情况，对本专业医疗技术临床应用质控指标完成状况开展自查、分析、整改，并有记录。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医疗技术临床应用质量开展督导检查、总结、分析、反馈，提出整改意见并检查整改落实情况。根据评估结果及时调整本院医疗技术临床应用管理目录、医师相关技术临床应用权限、医疗技术临床应用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（五十九）建立医疗技术临床应用培训制度。重视医疗技术临床应用管理人才队伍的建设和培养。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59.1建立医疗技术临床应用培训制度。加强医疗技术临床应用管理人才队伍的建设。</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有全院医疗技术临床应用培训制度，尤其应加强首次在本医疗机构临床应用的医疗技术培训。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相关医务人员按照《医疗技术临床应用管理办法》要求接受培训与考核。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有医疗技术临床应用管理人才队伍的建设方案和培养计划，并落实。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主管部门履行监管职责，定期对培训工作进行监管，对存在问题有改进措施。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59.1.5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医务人员全员接受医疗技术临床应用培训，有完整的培训和考核资料。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（六十）医院开展的限制类技术目录、手术分级管理目录和限制类技术临床应用情况应当纳入医院院务公开范围，接受社会监督。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60.1将医院开展的限制类技术目录、手术分级管理目录和限制类技术临床应用情况纳入医院院务公开范围，接受社会监督。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限制类技术目录、手术分级管理目录符合医院执业许可证中诊疗科目范围要求，与功能任务相适应。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医院开展的限制类技术临床应用按《医疗技术临床应用管理办法》严格管理。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医院开展的限制类技术目录、手术分级管理目录和限制类技术临床应用情况纳入医院院务公开范围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主管部门对医院开展的限制类技术目录、手术分级管理目录和限制类技术临床应用院务公开情况进行督导检查、评估、问题反馈并整改。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相关资料完整，有数据或案例显示改进成效。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（六十一）医院按照规定停止出现相关情形的医疗技术临床应用，并按规定履行报告程序。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61.1医疗机构在医疗技术临床应用过程中出现《医疗技术临床应用管理办法》第二十五条规定情形的，应当立即停止该项医疗技术的临床应用，并按规定履行报告程序。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根据《医疗技术临床应用管理办法》，制定出现相关情形下停止使用医疗技术临床应用的制度，并对全体医务人员培训。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临床科室在医疗技术临床应用过程中出现不良事件应按规定程序报告，属于规定中需立即停止情形的，应立即停止该项医疗技术的临床应用，并向医院主管部门报告。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医院主管部门发现本机构出现规定中需立即停止情形的，应立即要求临床科室停止该项医疗技术的临床应用，并立即向核发其《执业许可证》的卫生行政部门报告。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主管部门对相关情况有督导检查、对存在问题有总结分析并及时反馈、整改。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无开展禁止类技术，无瞒报出现的重大医疗质量、医疗安全或伦理问题，或与技术相关的严重不良后果事件。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四、医疗安全风险防范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二）以减少诊疗活动对患者的伤害为目标，建立医疗质量（安全）不良事件信息采集、记录和报告相关制度和激励机制。有对本院医疗质量（安全）不良事件及管理缺陷进行统计分析、信息共享和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62.1建立健全医疗质量（安全）不良事件信息采集、记录和报告相关制度和激励机制并落实。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有建立医疗质量（安全）不良事件信息采集、记录和报告相关制度和激励机制。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有途径便于相关人员报告医疗质量（安全）不良事件并不断优化报告途径；有部门统一收集、核查医疗质量（安全）不良事件，并按要求向相关机构上报。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有不良事件报告制度及流程的培训，相关人员知晓基本要求并落实。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每百出院人次主动报告不良事件年均大于2.5例次。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62.2建立健全医疗质量（安全）不良事件及管理缺陷的统计分析、信息共享和持续改进机制。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有建立医疗质量（安全）不良事件及管理缺陷定期统计分析、信息共享及持续改进的制度，相关人员知晓基本要求并落实。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对医疗质量安全不良事件实施分级、分类管理，开展医疗质量（安全）不良事件根本原因分析，查找存在的共性问题和薄弱环节，开展系统性改进工作。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主管部门结合全院共性及各科室特点，开展针对性的教育与培训。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（六十三）落实《医疗纠纷预防和处理条例》，加强医疗风险管理，完善医疗风险的识别、评估和防控措施并定期检查落实情况，及时消除隐患。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63.1落实《医疗纠纷预防和处理条例》，针对医疗风险制定相应制度、流程与医疗风险管理方案。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医院有医疗风险管理的制度、流程。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有医疗风险管理方案，包括医疗风险识别、评估、分析、处理和监控等内容。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有医疗风险防范培训的计划，能够针对共性及各科室专业特点制定相关培训内容。相关人员知晓并落实。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（六十四）落实《关于推进医院安全秩序管理工作的指导意见》，维护正常医疗秩序，保护医务人员人身安全，为医患双方营造良好诊疗环境。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64.1落实《关于推进医院安全秩</w:t>
            </w:r>
            <w:r>
              <w:rPr>
                <w:rFonts w:hint="eastAsia" w:ascii="仿宋_GB2312" w:hAnsi="宋体" w:eastAsia="仿宋_GB2312" w:cs="仿宋_GB2312"/>
                <w:sz w:val="24"/>
                <w:szCs w:val="24"/>
                <w:lang w:eastAsia="zh-CN"/>
              </w:rPr>
              <w:br w:type="textWrapping"/>
            </w:r>
            <w:r>
              <w:rPr>
                <w:rFonts w:hint="eastAsia" w:ascii="仿宋_GB2312" w:hAnsi="宋体" w:eastAsia="仿宋_GB2312" w:cs="仿宋_GB2312"/>
                <w:sz w:val="24"/>
                <w:szCs w:val="24"/>
                <w:lang w:eastAsia="zh-CN"/>
              </w:rPr>
              <w:t>序管理工作的指导意见》等有关规定要求，安全保卫组织健全，制度完善，维护</w:t>
            </w:r>
            <w:r>
              <w:rPr>
                <w:rFonts w:hint="eastAsia" w:ascii="仿宋_GB2312" w:hAnsi="宋体" w:eastAsia="仿宋_GB2312" w:cs="仿宋_GB2312"/>
                <w:sz w:val="24"/>
                <w:szCs w:val="24"/>
                <w:lang w:eastAsia="zh-CN"/>
              </w:rPr>
              <w:br w:type="textWrapping"/>
            </w:r>
            <w:r>
              <w:rPr>
                <w:rFonts w:hint="eastAsia" w:ascii="仿宋_GB2312" w:hAnsi="宋体" w:eastAsia="仿宋_GB2312" w:cs="仿宋_GB2312"/>
                <w:sz w:val="24"/>
                <w:szCs w:val="24"/>
                <w:lang w:eastAsia="zh-CN"/>
              </w:rPr>
              <w:t>正常医疗秩序，保护医务人员人身安全。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有安全保卫管理部门，人员配备结构合理，岗位职责明确；根据人流量、地域面积等情况，配齐配强专职保卫人员，聘用足够的保安员。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全院安全保卫部署方案和管理制度，加强医院物防设施建设，为在岗保卫人员和保安员配备必要的通讯设施和防护器械；有序开展安检工作，建立安全检查制度，配备金属探测门、微量X射线安全检查设备、手持式金属探测器等安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64.1.3</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有医务人员人身安全保障制度、应急预案和多部门联动机制，保卫、门诊、业务科室和医务部门密切配合，定期组织医院安全管理培训及演练，演练有记录、总结、分析、改进措施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64.1.4</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有与当地公安机关建立警民联防联动机制，有条件的二级医院设立警民联防警务室，配备必要警力； 尚不具备条件的根据情况在周边设立治安岗亭（巡逻必到点）。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主管部门有完善的监管机制，保证预案、设备设施、应急机制顺利实施。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有案例说明持续改进有成效，无重大安全事件发生。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64.2安全保卫设备设施完好，重点环境、重点部位安装视频监控措施，监控室符合相关标准。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加强医院技防系统建设，建立完善入侵报警系统、视频监控系统、出入口控制系统和电子巡查系统，安全保卫设备设施完好。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置安全监控中心，有视频监控系统，视频监控室建设符合国家相关标准，视频保存时间≥30天，系统时间误差≤30秒，监控系统出现故障时，维护能在1小时内现场响应，2小时内维修完成；有视频监控资源和使用、审批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医院财务、仓库、档案室、计算机中心、麻醉药品库房、供水、供电、易燃易爆物品存放区域、重要设备等重点要害部位安装安全防护全覆盖视频监控，有完善的防盗监控系统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（六十五）建立健全医患沟通机制和投诉管理制度。实行“首诉负责制”。投诉相关信息用于医疗质量管理的持续改进。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65.1建立健全医患沟通机制和投诉管理制度。实行“首诉负责制”。投诉相关信息用于医疗质量管理的持续改进。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有医患沟通、投诉管理制度及投诉协调处置机制。落实“首诉负责制”，科室、职能部门处置投诉的职责明确。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有专门部门统一受理、处理投诉。投诉接待室配有录音录像设施。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主管部门及时分析、反馈投诉信息，并开展多种形式典型案例教育。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科室及时讨论分析投诉信息，针对问题及时整改。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65.1.7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（六十六）建立药品不良反应、药品损害事件和医疗器械不良事件监测报告制度，定期评估相关事件并及时反馈临床，按照国家有关规定向相关部门报告。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66.1建立全院药品不良反应与药品损害事件监测体系、报告制度及药害事件调查处理程序。（医疗器械不良事件监测报告制度见159条）。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有药品不良反应与药害事件监测报告管理的制度与程序，有鼓励药品不良反应与药害事件报告的措施。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药品不良事件报告信息平台，药学部为药品不良事件报告汇总部门，与医疗安全（不良）事件统一管理，每月对全院药物不良事件进行初步调查、分析、总结，并按国家有关规定向相关部门报告，对不良反应多且安全隐患突出的药品要及时依法依规清退出供应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有药物不良反应、药害事件上报流程培训，相关人员熟练掌握并落实执行。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药学部有定期自查不良事件分析总结开展情况，对存在问题有整改。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（六十七）有对深静脉血栓中高危患者评估、识别、预防、诊断和处置的制度和流程并开展全员培训。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67.1有深静脉血栓中高危患者评估、识别、预防、诊断和处置的制度和流程。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有建立医院深静脉血栓管理组织，制定深静脉血栓防治管理制度或防治管理手册。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有深静脉血栓评估、识别、预防、诊断和处置流程，有使用住院患者血栓风险评估表并能落实评估。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有成立深静脉血栓快速反应团队或专家会诊团队。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有深静脉血栓防治管理制度培训，相关人员知晓并落实。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医院有数据或案例或新的管理制度、流程体现改进效果。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（六十八）关注院内安全，有针对心跳骤停、昏迷、跌倒等高风险意外事件的应急措施和救护机制，保障全院任何区域内均能及时提供紧急救治和生命支持服务。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68.1完善院内安全制度和应急抢救规范、流程，有各种紧急预案，保障全院任何区域内均能及时提供紧急救治和生命支持服务。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有保障院内安全的相关制度及各种紧急预案；急救设施配置和布局覆盖全院；职责明确、流程清晰，有多部门协调机制。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有包括心跳骤停、昏迷、跌倒等高风险意外事件的应急措施和救治机制、处置预案与流程，全院人员知晓、培训并演练。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由相关科室分片负责及时提供紧急救治和高级生命支持服务，覆盖全院区域，有规划、有演练，资料完整。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全院各科室对心跳骤停、昏迷、跌倒等高风险意外事件的报告制度与处置预案等有演练、自查、总结分析整改。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主管部门对全院医护人员抢救技能和全院任何区域的急救设施进行督导、检查、总结、反馈，有改进措施。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五、诊疗质量保障与持续改进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（六十九）门诊布局符合相关规定，能满足临床管理工作。建立门诊管理制度和工作流程、突发应急事件处置预案并组织实施。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69.1门诊布局符合相关规定，满足临床工作。建立门诊管理制度和工作流程、突发应急事件处置预案并组织实施。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门诊布局科学、合理，分区清楚，设备设施符合相关规范，流程有序、连贯、便捷，符合患者就诊流程要求和医院感染管理需要。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有门诊管理制度和工作流程；有措施保障门诊重点区域和高峰时段诊疗秩序和连贯性，缩短患者等候时间；有便民措施。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有门诊突发事件应急处置预案，包括：人员职责、处理程序、通讯方式、保障措施等；抢救设施设备、物（药）品处于备用状态。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有信息系统支持门诊分层挂号或科室、诊室直接挂号、缴费或自助挂号、缴费等服务。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69.1.7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（七十）加强门诊专业人员和技术力量配备，根据门诊就诊患者流量和突发事件调配医疗资源，做好资源调配。对门诊医务人员开展技术和技能专业培训。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70.1加强门诊专业人员和技术力量配备，根据门诊就诊患者流量和突发事件调配医疗资源；对门诊医务人员开展技术和技能专业培训。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医院对门诊出诊医护人员专业技术能力有明确要求，能够熟练、正确使用各种设备，掌握各种抢救技能。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制定根据门诊就诊患者流量、突发事件合理快速调配医疗资源的方案并落实。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有对医务人员开展技术和技能专业培训的计划并按计划进行。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门诊管理部门有定期自查、总结分析与整改。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（七十一）实行预检分诊制度，门诊规范设置预检分诊场所，完善预检分诊流程。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71.1实行预检分诊制度，门诊规范设置预检分诊场所，完善预检分诊流程。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有预检分诊制度和流程，并执行。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预检分诊点设立在门诊醒目位置，标识清楚，相对独立，通风良好，流程合理。备有发热患者用的口罩、体温表、手卫生设施、医疗废物桶、疑似患者基本情况登记表等。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门诊开放期间有专人负责预检分诊，预检分诊人员个人防护符合要求。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预检分诊人员接受岗前和在岗相关制度、流程的培训并考核，考核合格方可上岗。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71.1.7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（七十二）把门诊工作质量纳入临床各科室质量管理范围，作为考核科室和医务人员的重要内容。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72.1结合医院实际，建立门诊工作质量考核体系，明确目标，提升质量。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医院有建立门诊工作质量考核标准，并在全院发布。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医院有将门诊工作质量考核列入临床科室及医务人员年度考核内容。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临床科室有门诊工作质量考核标准的培训，相关人员知晓并落实。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（七十三）优化门诊服务，实施多种形式的预约诊疗服务，逐步提高患者预约就诊比例。及时公开出诊信息。开展多学科诊疗，方便患者就医。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73.1公开出诊信息，保障医务人员按时出诊。提供咨询服务，帮助患者有效就诊。</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以多种方式向患者提供出诊信息，并及时更新。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医务人员按时出诊，特殊情况无法出诊应有替代方案并及时告知患者。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为患者提供咨询服务。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门诊管理部门有定期自查、总结分析与整改。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73.2开展多学科综合门诊，方便患者就医。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有开展多学科综合门诊的相关制度与流程。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有专人负责相关工作的落实，有完整的管理资料。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主管部门定期对多学科综合门诊工作有检查、分析与反馈。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73.3有预约诊疗工作制度和规范，实施多种形式的预约诊疗服务，采取有效手段逐步提高患者预约就诊比例。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有预约诊疗工作制度和流程，并安排专门部门和专职人员负责统一预约管理和协调工作。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医院至少提供两种以上形式预约诊疗服务，如电话、网络、现场、诊间预约等，并方便患者及时获取预约诊疗信息，对变动出诊时间提前公告。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专家、专科、普通门诊均开展预约诊疗服务，并实行分时段预约，有提高患者预约就诊比例措施。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有信息化预约管理平台，实现预约号源统一管理与动态调配。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门诊管理部门有定期自查、总结分析与整改。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73.3.7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（七十四）优化就诊环境。就诊环境清洁、舒适、安全。为患者提供就诊接待、引导、咨询服务。门诊候诊区、医技部门等均有清晰、规范、醒目、易懂的标识。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74.1诊疗环境清洁、舒适、安全。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医院建筑布局符合患者就诊流程要求、符合医院安全规范要求和医院感染管理需要。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门诊、病房满足患者就诊需要，有配备适宜座椅的等候休息区，有候诊排队提示系统。卫生间清洁、无味、防滑，包括专供残疾人使用的卫生设施。环境整洁、安静，卫生。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安全防护设施规范。有卫生洗浴设施，有防止跌倒的安全设施。有安全的病房床单元设施和适宜危重患者使用的可移动病床。有人员培训（考核）知晓并落实。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诊疗环境整改案例体现改进效果，或形成新制度、规范、流程、举措。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74.2提供就诊接待引导、咨询服务；标识清晰、规范、醒目、易懂。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有就诊指南、建筑平面图、患者权益说明、价格公示等；有专人为患者提供咨询服务，佩戴标识规范，便于患者识别，相关人员熟知各项业务指引和服务流程。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有各种便民措施与服务，如为老年人、有困难的患者提供帮助，提供饮水、电话、健康教育宣传等；有适宜的供患者停放车辆的区域。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有清晰、规范、醒目、易懂的标识，尤其与急救相关的科室与路径；标识与服务区域功能或路径相符；有预防意外事件的警示标识与措施；有各类人员培训并落实。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有就诊服务整改案例体现改进效果，或形成新制度、规范、流程、举措。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（七十五）完善患者入院、出院、转科、转院服务管理工作制度及标准，加强转科、转院患者的交接管理。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75.1完善患者入院、出院、转科、转院服务管理工作制度和标准，床位统筹管理，改进服务流程，方便患者。</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有患者入院、出院、转科、转院管理制度与流程，并落实。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有为特殊患者（如残疾人、无近亲属陪护行动不便患者等）入院、出院提供多种服务的便民措施。如：轮椅、车床、拐杖等。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有部门或专人负责协调全院床位。体现“以患者为中心”，增加入院患者管理的透明度。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科室对相关工作有检查、分析及整改。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采用信息化统筹管理全院床位。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75.2落实首诊负责制，与挂钩合作的区域内具备急诊科的医疗机构建立急救、急诊转接服务制度。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有首诊负责制度，医务人员知晓并执行。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与挂钩合作的区域内具备急诊科的医疗机构建立急救、急诊转接服务制度。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相关科室有对办理入、出院手续情况定期自查、总结分析，对存在问题有整改。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75.3加强院内转科、转院患者的交接，及时传递患者病历与相关信息，为患者提供连续、优质、高效服务。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有转科、转院流程，实施转交接前的患者评估，保障患者安全，履行知情同意。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病情和病历等资料交接清晰、完整，并记录，医务人员熟悉并执行。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科室对相关工作有检查、分析，对存在问题有整改。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75.3.5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有数据或案例显示转科（院）患者连续性医疗服务效果。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（七十六）有为老年人就医提供方便，对老年人就医予以优先的举措。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76.1有构建适老化就医环境的举措，优化老年人进入医疗机构的预检流程。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医院患者就医管理规定中有老年人优先服务的措施，如：优先挂号、收费、预检分诊或专窗服务等。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有方便老年人进入医疗机构、构建适老化就医环境的举措，如：提供轮椅租借、等候座椅等。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有线上和线下方便老年人预约挂号的方法和指引，并不断优化流程。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院内有开展老年人就医优先服务的宣传和培训，医院管理人员和医务人员熟悉相关措施，并能有效指引患者就医。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门诊部对优先、方便老年人就医工作（门诊预检流程、接诊、转介以及办理入、出院情况）有开展日常巡查和定期自查，发现问题及时处理并有记录及汇总总结分析。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76.2提供多渠道预约挂号服务，提供方便老年人预约挂号的方式，优化线上线下服务流程。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提供多渠道预约挂号服务。优化老年人进入医疗机构的预检流程。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both"/>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优化线上线下服务流程。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both"/>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门诊部有对老年人预约挂号服务有定期自查、总结分析，对存在问题有整改。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jc w:val="both"/>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（七十七）加强出院患者健康教育，为出院患者提供规范的出院医嘱和康复指导意见，建立出院患者随访制度并组织实施。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77.1加强出院患者健康教育，提高患者健康知识水平和出院后医疗、护理及康复措施的知晓度。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有出院患者健康教育相关制度，并落实。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有出院患者随访管理相关制度，利用电话、电子邮件等多种形式开展延续性护理服务。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患者或家属能知晓出院后医疗、护理和康复措施。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科室对相关工作有检查、分析及整改。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有数据或案例显示患者出院健康教育及知识水平持续提升，促进康复。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77.2出院患者有出院记录，主要内容记录完整，与住院病历记录内容保持一致；为出院患者提供规范的出院医嘱和康复指导意见。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患者出院记录内容完整，与住院病历记录内容一致，并有签名。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有规范的出院医嘱，主管医护人员有对患者进行医嘱明确告知和解释。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有向出院患者提供康复指导意见并有记录。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主管部门有定期督导、分析、反馈，并检查科室落实整改情况。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77.3医院对特定患者（根据临床/科研需要）采用多种形式延续性护理服务。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有延续性护理服务相关制度并执行。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对特定患者实施延续性护理服务，形式包括：书面随访、电话随访、家庭访视等多种形式开展延续性护理服务，并有记录。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主管部门对出院指导及随访工作落实情况有检查、分析、反馈。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77.3.4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有数据或案例体现随访或延续性护理服务效果，促进患者康复。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八）建立各专科常见疾病的临床诊疗规范和技术操作流程，由具有法定资质的医务人员按照制度、程序、规范和流程对患者进行疾病诊断、评估并制定诊疗计划。对疑难危重患者实施必要的多学科评估和综合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78.1各专科建立本专业疾病临床诊疗规范和技术操作流程，医务人员按照规范和流程开展诊疗活动。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业务科室根据国家相关指南建立本专业各疾病临床诊疗规范和技术操作流程，并定期培训、更新。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由具有法定资质的医务人员按照制度、程序、规范和流程对患者进行疾病诊断、评估并制定诊疗计划，并按规范进行病历书写。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科室对落实诊疗规范和技术操作流程有自查，存在问题有改进。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主管部门定期有督导检查、分析、反馈。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78.2建立疑难危重患者多学科评估和综合诊疗制度，并落实。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明确疑难危重患者范围，根据本院实际情况制定包括疑难危重患者的多学科评估和综合诊疗制度与流程。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临床科室各级医生熟知多学科评估和综合诊疗制度并在日常医疗工作中落实执行。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科主任查房应把疑难危重患者作为重点，并掌握科室落实多学科评估和综合诊疗情况。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科室对多学科综合诊疗有自查，对存在问题有改进。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主管部门有定期督导检查、分析、反馈，必要时参与、组织多学科综合诊疗工作。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（七十九）对住院患者实施营养评估，为患者提供营养膳食指导，提供营养配餐和治疗饮食，满足患者治疗需要。对特殊、疑难、危重及大手术患者提供营养会诊，按需提供营养支持方案，并记入病历。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79.1设置营养科（室），并配备与其规模相适应的医、护、技营养专业人员，开展临床营养工作。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二级及以上医院应设置（临床）营养科（室），具有独立的工作场所和基本设施。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营养科（室）配置与医院规模相适应的营养专业人员，医师和护士分别具有临床执业医师资格和执业护士资格，并具备相应的基本技能；有各级各类人员岗位职责。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营养门诊每周不少于2个单元，设有肠内营养配制室，肠内营养制剂的应用种类不少于5种。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主管部门对相关工作有督导、分析、反馈，并检查科室落实整改情况。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有临床营养服务整改案例体现改进效果，或形成新制度、规范、流程、举措。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79.2有临床营养工作管理制度和诊疗技术规范，并落实。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临床营养科（室）工作管理制度健全，有相关诊疗技术规范和操作规程，相关人员掌握并执行。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遵循住院患者各类膳食的适应症和膳食应用原则要求；治疗膳食种类齐全，满足临床患者膳食治疗需要。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有临床营养科（室）诊疗质量与服务监管指标和要求，相关人员知晓并落实。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科室对制度、规范执行情况有自查，对问题有分析及改进措施。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主管部门对相关工作有督导、分析、反馈，对整改问题有检查落实情况。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有数据体现营养诊疗质量与服务质量指标符合要求。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79.3开展规范化临床营养诊疗工作和营养健康宣传教育服务，对特殊、疑难、危重及大手术患者提供营养会诊，并按规范完成记录。</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为患者提供营养咨询、膳食指导和营养宣教，定期听取并征求患者及家属的意见。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营养医师根据规范开展营养查房，对有需要的患者制定营养支持治疗计划、开具营养处方及随访、监测效果，并按规范书写查房记录。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参与特殊、疑难、危重及大手术患者的临床病例讨论和营养会诊，会诊意见、营养治疗方案和膳食方案按要求在病程记录中有体现。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科室对重点病人治疗膳食医嘱有效果评价，对相关工作有自查、分析，对存在问题有整改。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主管部门有督导、分析、反馈，并检查科室落实整改情况。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79.3.6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有数据或案例显示临床营养医疗文书书写规范、住院患者对临床营养指导工作满意度不断提升。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（八十）实施手术患者评估制度，合理制订诊疗和手术方案。建立重大手术报告审批制度。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80.1建立手术患者评估制度和重大手术报告审批制度。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建立手术患者评估制度，为每位手术患者制订手术治疗计划或方案。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建立重大手术（包括急诊情况下）报告审批制度与流程及目录。有急诊手术管理制度及急诊手术绿色通道的保障措施和协调机制。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对医务人员进行培训，医务人员熟悉并执行上述制度和流程。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科室对上述工作有自查、分析、整改。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主管部门对上述有检查与监管。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手术患者评估制度、重大手术报告审批制度得到有效落实。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（八十一）手术的全过程情况，术后注意事项，手术后治疗、观察与护理情况及时、准确地记入病历；手术的离体组织必须做病理学检查，明确术后诊断。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81.1手术病人的手术全过程、术后治疗、病情变化及护理情况及时、准确、完整地记入病历。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病历书写规范，参加手术的医师在术后及时完成术后首次病程记录，并记录术后处理措施、术后观察注意事项等；手术主刀医师在术后24小时内完成手术记录（特殊情况下，由一助书写，主刀签名），内容包括反映手术的一般情况、手术经过、术中发现及处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有术后患者诊疗护理管理相关制度与流程。每位患者手术后的生命指标监测结果记录在病历中。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在术后适当时间，依照患者术后病情再评估结果，拟定术后康复，或再手术等措施。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科室对上述工作有自查、分析及整改。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主管部门对上述工作有定期监管、分析反馈，并检查科室落实整改情况。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有数据或案例显示整改效果。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81.2手术离体组织送病理学检查，明确术后诊断。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有手术后离体组织送病理学检查的规定、流程，并执行。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手术室有具体措施保障规定与程序的执行。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相关医务人员熟知规定并在日常工作中落实。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科室对上述工作有自查、分析及整改。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主管部门对上述工作有监管，并检查科室落实整改情况。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81.3完善非计划重返手术监测指标管理，降低因术前评估不足、手术设计缺陷等不到位造成的非计划重返手术率。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成立由医务、临床科室、麻醉、护理等相关部门组成的专项工作小组，并指定牵头部门，明确职责，制定年度工作目标。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医院建立非计划重返手术室再手术多部门联合监测制度及评价机制，有明确的医院及科室降低非计划重返手术室再手术率考核要求，将考核结果纳入绩效管理，建立激励约束机制。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医院专项工作小组定期召开质量分析会，根据医院统计数据，运用质量管理工具，查找、分析影响医院实现目标的因素，制定改进措施并形成质量分析报告，有会议记录。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科室根据医院指标要求制定本科室降低非计划重返手术室再手术率具体实施措施，每月对医护人员执行情况进行进行自查，运用质量管理工具对存在问题开展原因分析、整改落实。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医院按月、分科室统计非计划重返手术室再手术数据，按季度开展数据分析；主管部门根据分析数据及专项工作小组分析报告定期对临床科室开展督导、反馈，帮助科室不断降低非计划重返手术室再手术率。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81.3.6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医院有数据体现非计划重返手术室再手术率的改进效果。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（八十二）手术麻醉人员配置合理。实行患者麻醉前病情评估制度。有麻醉后复苏室，规范全程监测并记录麻醉后患者恢复状态，防范麻醉并发症的措施到位。制定术后镇痛治疗管理规范和流程并严格执行。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82.1手术麻醉人员配置合理。麻醉医师经过严格的专业理论和技能培训，完成继续教育。</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麻醉科主任具有副高级及以上、护士长具有中级及以上专业技术职务任职资格。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麻醉医师人数与手术台比例符合业务发展需求。手术室护理人员人数与手术台比例配置合理。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麻醉医师经过严格的专业理论和技能培训，考核合格。定期（至少每年）接受继续教育知识更新。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82.2有患者麻醉前访视、评估和麻醉前讨论制度。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有患者麻醉前访视和评估制度。由具有资质及授权的麻醉医师为每一位手术患者制定麻醉计划。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有麻醉前讨论制度，对高风险择期手术、新开展手术等进行麻醉前讨论。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有麻醉前访视和评估、麻醉前讨论制度的培训，相关人员知晓并落实。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82.3有麻醉意外与并发症处理规范，有麻醉效果评价。</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有麻醉意外与并发症处理、麻醉效果评价的规范与流程。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变更麻醉方法有明确的适应证，获得上级医师同意，家属知情，并记录。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有麻醉意外与并发症处理、麻醉效果评价制度的培训，相关人员知晓并落实。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82.4麻醉的全过程在病历/麻醉单上得到充分体现。</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有麻醉全过程书写标准与规范。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麻醉医师按规范记录麻醉单，麻醉全过程在病历/麻醉单上得到充分体现。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82.5麻醉后复苏管理措施到位。有麻醉复苏患者管理的标准与流程。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根据手术病人情况开展麻醉后复苏工作，麻醉后复苏应由专业医护人员负责实施。医护人员配备满足临床需要。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有麻醉复苏患者管理流程。麻醉复苏记录规范完整。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82.6建立术后镇痛治疗管理的规范与流程，能有效地执行。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有术后疼痛患者的镇痛治疗规范。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麻醉医师掌握术后镇痛治疗规范与流程，镇痛治疗效果有评价，有记录。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麻醉前麻醉医师向患者、近亲属或授权委托人说明术后镇痛风险、益处和其他可供选择的方案。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82.6.6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82.7定期分析麻醉管理评价指标，开展麻醉质量评价，确保患者麻醉安全。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有麻醉质量监测指标并符合相关管理要求。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有专人负责相关数据的采集，有具体的管理措施保障数据资料的真实、完整。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定期开展麻醉质量指标趋势分析与评价，对存在问题有整改。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82.7.6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（八十三）医院开展诊断脑电图、肌电图等特殊诊疗技术，应当符合国家法律、法规及卫生健康行政部门规章标准的要求。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83.1开展脑电图、肌电图等特殊诊疗技术应符合医疗机构诊疗科目，有独立场所，人员资质符合要求，有管理制度和诊疗规范，保证临床诊疗需求。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开展脑电图、肌电图等特殊诊疗技术，应与执业许可证诊疗科目一致，有独立场所，场所环境防护等符合国家要求。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有特殊诊疗技术管理制度和诊疗规范，明确诊疗技术报告时限，有与临床沟通的机制。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人员均接受特殊检查专业技能培训，依法取得执业资格；出具“临床诊断报告”由经过授权、具备执业医师资质的人员签发；负责人由有经验的特殊检查专业或经过特殊检查技术培训的主治医师及以上职称人员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有上述制度、规范的培训，相关人员知晓基本要求并落实。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（八十四）特殊检查室设计及空间区域划分应符合特殊检查需求。能将有害光、射线、磁场限制在检查患者所需的范围，避免医务人员及其他人员接触有害物质。有突发意外事故管理规范与应急预案并严格执行。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84.1特殊检查室（放射等）机房环境安全技术指标、安全和防护性能符合要求，空间区域划分符合规范要求，有效避免医务人员及其他人员接触有害物质。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放射等机房设计、建设及设施符合安全、环保、职业病防护等规范要求并验收合格；空间区域严格划分患者、检查人员、其他人员区域；机房显著位置有规范的警示标识。实时监测环境剂量。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所有设备、仪器、药品必须符合国家相关标准，定期检测，合格后方能使用；所有证书均在有效期内；放射诊疗许可证、辐射安全许可证与现有设备相符。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有完整的设备、环境、人员、防护制度和应急预案；防护用具齐全、有效。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所有工作人员具备国家要求的特殊诊疗技术资质，个人剂量检测符合要求；有工作人员放射防护知识和应急处置措施培训制度并落实。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主管部门对设备、环境、资质、防护、应急等有监管，并检查科室整改落实情况。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无医务人员及其他人员接触有害物质的事件发生。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84.2有突发意外事故管理制度及流程，有应急预案。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有突发意外事故管理制度及流程；放射性操作区有简明的应急救援流程，有指定该区域的防护负责人。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工作区备有急救药品和急救设备，指定专人负责，定期检查急救药品和设备保持有效和正常状态并有检查记录。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有应急预案，责任分工明确，相关人员有培训，并有演练。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主管部门对应急管理有督导、总结分析及反馈，并检查科室落实整改情况。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六、护理质量保障与持续改进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五）建立扁平高效的护理管理体系，建立护理管理委员会和独立的护理管理部门；建立护理质量与安全管理委员会，依据法律法规、行业指南、标准，制定本单位护理工作发展规划、护理制度、常规和操作规程，实施护理管理、质量改进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85.1加强对护理工作的领导及组织管理，设立护理管理委员会和独立的护理管理部门；建立院长（或副院长）领导下的护理垂直管理体系。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国家相关要求成立由院长或主管院领导任主任委员、有多部门（人事、财务、医务、护理、后勤等）主要负责人组成的护理管理委员会，有相关职责，审核、制定护理工作发展规划，提出各项改进措施，解决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将护理工作发展纳入本单位整体发展规划，定期组织研究并解决护理工作中的困难问题。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建立扁平化的护理管理架构，有措施保障落实护理工作中长期规划、年度计划，并有总结。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主管部门对规划、目标和计划落实情况有检查与监管。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与医院发展相适应的护理规划与计划有效落实。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85.2建立护理质量与安全管理委员会，有院－科－病区或院－病区护理质量与安全管理组织体系，职责明确，落实到位。</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有护理质量与安全管理委员会，定期研究护理质量与安全工作，制定护理质量与安全管理的工作计划及护理质量监测指标。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有院－科－病区或院－病区护理质量与安全管理组织体系，科或病区有护理质量与安全管理小组，负责落实护理质量与安全管理工作。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对护理质量做到基于数据的质量指标管理，并及时、准确上报监测护理质量指标并分析。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科室或病区护理质量安全管理小组每月对护理质量与安全管理有自查、分析，对存在问题有整改。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主管部门对科或病区护理质量与安全管理工作有定期督导、分析、反馈，并检查科室整改落实情况。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有数据显示护理质量改进有成效。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应用信息化手段管理，保障护理质量数据完整、准确，并及时上报。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85.3依据法律法规、行业指南、标准，制定护理制度、常规和操作规程等，并落实。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推进现代医院管理制度建设，有修订制度、常规、操作规程等相关文件的规定与程序；修订后的文件有试行－修改－批准-培训－执行的程序，并有修订标识。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依据法律法规、行业指南、标准，制定护理制度、常规和操作规程等；有按照18项核心制度要求，细化护理相关制度。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有培训并落实护理制度、护理常规及操作规范。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科室对护理制度、护理常规、操作规范的落实情况有自查、对存在问题进行分析、整改。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主管部门对护理制度落实情况有定期督导检查、分析、反馈，并检查科室整改落实情况。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85.4对患者进行跌倒风险评估，主动向高危患者告知跌倒、坠床风险，采取有效措施防止意外事件的发生。</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有防范患者跌倒、坠床的相关制度，并体现多部门协作。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对住院患者进行跌倒、坠床风险评估，根据病情、用药变化再评估，并在病历中记录。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主动告知患者跌倒、坠床风险及防范措施，对特殊患者，如儿童、老年人、孕妇、行动不便和残疾等患者，采取适当措施防止跌倒、坠床等意外，如警示标识、语言提醒、搀扶或请人帮助、床挡等，有记录。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科室对跌倒和坠床安全管理的落实情况有自查、对存在问题进行分析、整改。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主管部门对跌倒和坠床安全管理有定期督导检查、分析、反馈，并检查科室整改落实情况。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85.5有患者跌倒坠床等意外事件报告制度、处置预案与工作流程。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有患者跌倒、坠床等意外事件报告相关制度、处置预案与流程。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患者跌倒、坠床等意外事件报告相关制度、处置预案与流程，有培训，相关人员知晓。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患者跌倒、坠床等意外事件报告相关制度、处置预案与流程落实。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科室对患者跌倒、坠床等报告制度与处置预案等的落实情况有自查、对存在问题进行分析、整改。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主管部门对患者跌倒和坠床等意外事件报告有定期督导检查、分析、反馈，并检查科室整改落实情况。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85.6有压力性损伤风险评估与报告制度，有压力性损伤诊疗及护理规范。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85.6.1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有压力性损伤风险评估、报告制度与诊疗措施。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85.6.2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有压力性损伤诊断与创面处理的诊疗及护理规范。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85.6.3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对患者进行压力性损伤风险评估并能按风险程度及病情变化作出动态评估。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科室对压力性损伤风险管理的落实情况有自查、对存在问题进行分析、整改。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85.6.5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主管部门对压力性损伤风险管理有定期督导检查、分析、反馈，并检查科室整改落实情况。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85.7落实预防压力性损伤及创面处理的措施。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85.7.1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有适用的预防压力性损伤的设备、材料、辅料，护理人员能够正确使用。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85.7.2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护理人员根据压力性损伤预防、创面处理规范，落实各项预防措施。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85.7.3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护理人员根据患者压力性损伤的危险因素做针对性健康教育，鼓励家属积极参与减轻压力的干预措施。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85.7.4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科室对预防压力性损伤管理的落实情况有自查、对存在问题进行分析、整改。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85.7.5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主管部门对预防压力性损伤管理有定期督导检查、分析、反馈，并检查科室整改落实情况。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（八十六）护理人力资源配备与医院功能和任务相适应，有护理单元护理人员的配置原则， 以临床护理工作量为基础，根据收住患者特点、护理级别比例、床位使用情况对护理人力资源实行弹性调配。有紧急状态下调配护理人力资源的预案。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86.1护理人力资源配备与医院功能和任务相适应，有护理单元护理人员的配置原则，以临床护理工作量为基础，依法执业，对各级护理人员资质进行严格管理。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建立护士人力资源管理制度，保障临床护理需求。采取有效措施优先保障临床护士人力配置到位，原则上临床护理岗位护士数量占全院护士数量不低于95%。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全院病区护士与实际开放床位比不低于0.3:1,普通病房日间每位护士平均负责患者数≤10-12人，根据床位数和工作量合理配置夜班护士人数。重症监护病房护士与实际开放床位比不低于2.5-3:1。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有护理人员资质准入及值班等相关制度并依法执行。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主管部门对护理人员配置情况、护理人员资质有监督、检查，对问题有追踪分析。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护理人力配置合理，全院病区护士与实际开放床位比满足临床需求，人员均符合执业与特殊岗位资质要求。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86.2对护理人员实行分层级管理，各层级护士有明确的岗位职责和工作标准，有考评和监督。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医院有护士分层级管理制度、护理岗位管理实施方案，明确医院护理岗位设置、任职条件、岗位职责、岗位技术能力要求和工作标准。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实施护理人员分层管理，明确护士层级能力要求和培养方案，有统一的护理人员分级管理档案。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有各类别护理人员岗位培训，护理人员知晓并落实相关岗位职责和工作要求。护理人员分管患者护理级别符合护理人员能级水平。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主管部门对各级护理人员分层级管理有检查与监管。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护理人员分层管理规定得到落实。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86.3根据收住患者特点、护理级别比例、床位使用情况对护理人力资源实行弹性调配，有护理人力资源动态调配的方案和措施；有紧急状态下调配护理人力资源的预案。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有护理人力资源动态调配的方案。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人力资源调配方案能根据收住患者特点、护理级别比例、床位使用情况等制定，并能实现护理人力资源动态调配。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相关护理管理人员知晓紧急护理人力资源调配规定的主要内容与流程，并执行。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科室对人力资源动态调配工作有总结、分析及整改。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主管部门对人力资源动态调配工作有定期督导检查、分析、反馈，并检查科室整改落实情况。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86.3.6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人力资源动态调配工作落实到位。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七）护理人员依法执业，实行分层级管理，有护理人员管理规定、实行岗位管理制度，明确岗位设置、岗位职责、岗位技术能力要求和工作标准。有护理人员在职继续医学教育计划，保障措施到位，并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87.1依法执业，有护理人员管理规定，对各级护理人员资质进行严格管理，实行分层级管理。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有护理人员执业准入、特殊护理岗位资质、技术能力要求、有审核规定与程序。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有护理人员夜班准入制度及管理，依法执行护理人员准入管理。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对各级护理人员进行分层级管理，护理人员知晓相关岗位职责及进阶要求并执行。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科室对护士资质及分层级管理有检查、分析、整改。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主管部门对护理人员资质有审核、监督、检查，对问题有追踪分析。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护理人员均符合执业与特殊岗位资质要求，分层级岗位管理逐步优化。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87.2医院有护理岗位管理制度、护理岗位管理实施方案，明确岗位设置、岗位职责、岗位技术能力要求和工作标准。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按照要求完善护理岗位管理制度并落实。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有明确的护理岗位管理实施方案，明确岗位设置、岗位职责、岗位技术能力要求和工作标准。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相关人员知晓本部门、本岗位职责要求，并按照规定执行。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科室对护理岗位管理相关内容落实有检查、分析及整改。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职能部门定期对相关工作有定期督导检查、分析、反馈，并检查科室整改落实情况。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对护理人员岗位管理工作有追踪和评价。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实现按需设岗、科学管理，实现护士岗位管理从身份管理到岗位管理的转变。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87.3建立护士岗位培训制度，建立以岗位需求为导向、以岗位胜任力为核心的护士培训制度。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建立护士岗位培训制度，建立以岗位需求为导向、以岗位胜任力为核心的护士培训制度，包括护士规范化培训、核心能力培训、护士继续教育。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参照《新入职护士培训大纲》开展新入职护士规范化培训，有护理人员在职继续教育计划，并落实。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制定在职继续教育计划，培训内容结合临床需求，体现不同岗位、不同专业、不同层次护理人员岗位特点，体现岗位需求，符合不同岗位、不同专业、不同层次护理人员的特点，并落实。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科室对相关内容落实有检查、分析及整改。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职能部门定期对相关工作有定期督导检查、分析、反馈，并检查科室整改落实情况。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培训计划落实，护理人员技术能力和水平不断提升。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87.4积极开展专科护理培训，参照国家、广东省有关专科护理领域护士培训的有关要求，培养专科护理人才。</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医疗机构根据功能定位和任务要求，结合医学技术发展及患者需求，加强专科护理能力建设。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积极培养专科护理人才，注重临床护士在重症监护、急救护理等护理能力及各专科康复护理能力的提升。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有专科护理人才培养与管理制度，合理使用专科护理人才。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有保障开展专科护理人员培训所需的师资、设备设施等资源，培训措施落实。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科室对相关工作有检查、分析及整改。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87.4.6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主管部门对专科护理人才培养和使用有监管，对问题有追踪分析及改进。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八）建立基于护理工作量、质量、患者满意度并结合护理难度、技术要求等要素并以考核护理人员实际工作能力为核心的绩效考核制度，考核结果与护理人员的评优、晋升、薪酬分配相结合，调动护理人员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88.1建立基于护理工作量、质量、患者满意度、护理难度及技术要求的绩效考核办法，考核结果与评优、晋升、薪酬挂钩。</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有基于护理工作量、质量、患者满意度、护理难度及技术要求的绩效考核制度、有具体的绩效考核实施方案。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绩效考核方案制定征求护理人员意见，护理人员知晓绩效考核方案。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有按照相关文件，护理绩效考核向高劳动强度、高风险、高技术含量倾斜。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主管部门对绩效考核方案落实情况有检查与监管，对问题有追踪分析。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实现优劳优得，多劳多得，调动护理人员积极性，并有绩效考核项目的更新。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（八十九）依据《护士条例》等相关法律法规和规定，规范护理工作，落实优质护理服务。实施责任制整体护理，为患者提供全面、全程、专业、人性化的护理服务。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89.1依据《护士条例》等法律法规，规范护理工作，优质护理服务落实到位。</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有推进开展优质护理服务的保障制度、措施及激励机制，有优质护理服务规划、目标、工作计划和实施方案，并落实。有多部门有联动机制，持续推进优质护理。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优质护理服务要覆盖到门诊、手术室等非住院部门；对具有较高再入院率或医疗护理需求的出院患者提供延续护理服务。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积极探索开展“以患者为中心”的医护治一体化、多学科合作模式，增强患者获得感。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主管部门后勤保障、信息支持情况有沟通、协调，对优质护理落实情况有检查与监管。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优质护理服务措施落实到位。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89.2实施责任制整体护理，为患者提供全面、全程、专业、人性化的护理服务。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实施责任制整体护理工作模式。为患者提供心理与健康指导服务和出院指导。根据患者生理、心理、社会需求，全面评估患者病情与需求，实施个性化、专业化、连续性的护理措施。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根据患者病情和自理能力情况，扎实做好基础及专科护理。按照护理实践指南和技术规范要求，实施护理技术操作，规范护理服务行为，确保护理质量和患者安全。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增强主动服务和人文关怀意识，加强与患者的沟通交流，尊重和保护患者隐私，关注患者的不适和诉求，并及时提供帮助。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89.2.6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责任制整体护理落实到位，患者对护理工作满意度不断提升。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（九十）根据《综合医院分级护理指导原则》《护理分级标准》（WS/T431-2023）的原则和要求，进行护理分级，并且按护理级别实施分级护理。有危重患者护理常规，护理措施落实到位。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90.1依据《综合医院分级护理指导原则（试行）》《护理分级标准》（WS/T431-2023）落实分级护理。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w:t>
            </w:r>
            <w:r>
              <w:rPr>
                <w:rFonts w:eastAsia="仿宋_GB2312"/>
                <w:sz w:val="24"/>
                <w:szCs w:val="24"/>
                <w:lang w:eastAsia="zh-CN"/>
              </w:rPr>
              <w:t xml:space="preserve"> 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依据《护理分级标准》（WS/T431-2023）的原则和要求，制定符合医院与专科实际的护理分级制度。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由医生或护士根据患者病情严重程度和（或）自理能力等级确定患者护理分级，护理级别与患者实际情况相符，动态调整并有明确标识。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根据患者护理分级安排具备相应能力的护士，根据患者的护理分级和主管医生制订的诊疗计划，为患者提供护理。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科室对护理分级制度落实情况定期进行自查，分析，改进。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主管部门对分级护理制度落实情况有检查与监管。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根据患者病情与自理能力确定护理级别，并落实到位。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90.2结合医学技术发展和患者护理需求，加强护士专科护理能力建设，护士具有危重患者护理的相关理论知识与操作技能。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结合医学技术发展和患者护理需求，注重护士专科护理能力建设。注重临床护士的重症监护、急救护理等专科护理能力的提升。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护士具有危重患者护理的理论知识与操作技能，如：生命支持设备操作、患者病情评估与处理、紧急处置能力等。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责任护士能对分管的危重患者能进行系统评估，并根据评估结果制定符合患者需求的护理计划并落实。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有护士为主导的工作，改善危重患者护理结局的案例。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90.3有危重患者护理常规、技术规范、风险评估、应急预案和安全防范措施，并落实。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有危重患者护理常规、技术规范、风险评估、应急预案和安全防范制度及措施。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有规范化培训、考核记录，护士掌握并落实上述内容。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主管部门对落实情况进行定期检查与监管。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90.3.5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危重患者护理质量不断提升。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（九十一）护理文书、护理查房、护理会诊和护理病例讨论制度参照《医疗质量安全核心制度要点》执行。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91.1根据《病历书写基本规范》制定护理记录书写规范及书写质量考核标准，定期质量评价。</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有护理文书书写规范及书写质量考核标准。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护理人员按照《病历书写基本规范》完成日常护理文书记录。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科室对护理文书有自查、总结分析，发现问题及时整改。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主管部门对运行的护理文件书写质量有检查与监管并检查科室整改落实情况。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应用现代化信息手段，简化、规范、及时完成护理文件书写、保存，有数据显示护理文书书写质量不断提高。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91.2根据护理管理制度并参照《医疗质量安全核心制度要点》，建立三级护理查房制度，明确各科查房周期以及护理决策、有查房记录及效果可追溯。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建立护理三级业务查房和三级教学查房制度，明确各科查房周期。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护理部有明确的年度临床科室查房计划，有参与人员要求；科室护士长有应用护理程序对本科患者进行护理查房，查房中形成促进患者康复的护理决策，并有记录。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有三级护理业务查房和教学查房标准，并全员培训，相关人员按要求落实。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科室对护理查房执行情况和质量有定期自查、总结分析与整改。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医院有数据体现改进效果，或案例体现医护治一体化。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91.3建立护理疑难病例讨论制度和会诊制度，通过开展护理会诊或MDT讨论解决护理问题、提高患者护理质量。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建立护理疑难病例讨论、会诊制度，有护理MDT团队协作机制和流程，有效解决本专科不能解决的护理问题。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有明确的护理会诊申请流程及会诊人员资质要求，护理部组织、协调护理会诊工作。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开展以护理为主导的MDT，为患者制定更科学的护理方案，解决疑难护理问题。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91.3.5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（九十二）有临床护理技术操作常见并发症的预防与处理规范。有紧急意外情况的护理应急预案和处理流程，有培训与演练。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92.1建立并执行临床护理技术操作常见并发症的预防及处理规范。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有临床护理技术操作常见并发症的预防与处理规范。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有护理技术操作培训和考核计划并落实到位。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护理人员熟悉掌握常见技术操作及并发症预防、处理流程。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科室定期对护理人员培训、考核情况进行自查、分析、整改。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主管部门对护理人员技术操作定期督导检查、分析、反馈，并检查科室整改落实情况。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护理人员技术操作规范。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92.2有重点环节应急管理制度，及紧急意外情况的护理处置预案并演练。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有重点环节应急管理制度。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对重点环节包括患者用药、输血、标本采集、治疗、围术期管理、安全管理（如坠床/跌倒、走失、自杀等）等有意外发生的应急处理预案。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相关岗位护理人员知晓应急预案并演练。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科室对护理应急预案及演练情况有自查、分析、整改。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有数据或案例显示护理人员对紧急意外情况的应急处理规范。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（九十三）按照《医院手术部（室）管理规范（试行）》《医院消毒供应中心管理规范》，完善手术部（室）、消毒供应中心（室）等护理质量管理与监测相关规定及措施，组织实施并持续改进。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93.1按照《医院手术部（室）管理规范（试行）》，手术部（室）布局符合要求，标识清楚，建立手术室感染预防与控制管理制度及质量控制标准，并有培训、考核及监督。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手术室布局合理，分区明确，标识清楚，洁污区域分开，各工作区域功能与实际工作内容符合。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有手术室感染预防与控制管理制度及质量控制标准，对相关人员有培训，有落实。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定期对感染、空气质量、环境等进行监测，有记录。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有医疗设备、手术器械及物品的清洁、消毒、灭菌及存放规定。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手术室自行消毒的手术器械及物品有标识及有效日期，使用者知其含义。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手术室工作区域、连台手术之间按规范清洁、消毒。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科室对感染控制制度落实情况有自查、分析、整改。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93.1.8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职能部门对感染控制制度落实情况有检查与监管并检查整改落实情况。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93.2根据医院手术间数量和手术工作量，合理配置手术室护理人员，保证手术正常开展；有手术室管理制度、岗位职责和操作规范等。</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手术量及工作需要配备护理人员、辅助工作人员和设备技术人员；各类人员资质及岗位技术能力符合要求；手术室护理人员与手术间的比例配置合理；手术室护士长具备主管护师及以上专业技术职务任职资格和5年及以上手术室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有手术室各项管理制度、工作职责、护理常规、专业技术规范和操作常规等。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有手术室各类应急预案，并定期演练。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护理人员知晓上述相关要求，有培训并按要求落实。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科室对执行制度、规范、职责等情况有自查，对存在问题有整改。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主管部门对科室管理工作有检查与监管并检查科室整改落实情况。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93.3有手术室患者交接、安全核查、安全用药、手术物品清点、标本管理等相关制度和护理质量管理与监测规定及措施，组织实施并持续改进。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有手术室护理质量管理与监测相关制度；有患者交接、安全核查、安全用药、体位安全、手术物品清点、标本管理等安全制度并落实。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有手术中安全用药、高危等特殊药品管理制度，遵医嘱为手术患者实施术前与术中用药（包含使用预防性抗菌药）和其他治疗服务，有完整用药记录。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有手术室护理质量监测指标及要求，按规范持续监测指标完成情况并有记录。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有手术患者标本规范保存、登记、送检等流程，有实施记录。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科室对安全管理制度落实情况有自查、分析、整改。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主管部门对手术室质量管理与监测情况有检查与监管并督导改进情况。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93.4按照《医院消毒供应中心管理规范》，消毒供应中心（室）布局符合要求，分区明确，标识清楚；实施集中管理，建立清洗、消毒、灭菌效果监测制度，加强质量管理。清洗、消毒、灭菌符合消毒供应中心行业标准要求，专人负责质量监测工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消毒供应室相对独立，周围环境清洁，无污染源；内部环境整洁，采光良好，分区明确；整体布局合理，洁污区分清晰，不交叉，不逆流。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有清洗、消毒、灭菌效果监测制度；有外来医疗器械管理制度及交接登记；有监测记录并符合监测标准要求。有质量可追溯制度。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采取集中管理方式，建立与人员相适应的管理体制。对所有需重复使用的诊疗器械、器具和物品由消毒供应中心统一回收，集中清洗、消毒、灭菌和供应，质量控制符合追溯要求。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专人负责质量监测工作。相关部门保障物资供应和设备运行正常，设备出现故障时，能够及时处理；保证水、电、压缩空气及蒸汽的供给及质量。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消毒供应中心有日常和定期监测自查、分析、整改。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主管部门对科室监测工作落实及管理情况有检查、反馈，并检查整改落实情况。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93.4.7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无因灭菌失败导致的感染事件发生。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93.5根据医院消毒供应工作量，合理配置消毒供应中心护理人员，保证医疗消毒用品正常供应；有消毒供应中心管理制度、岗位职责和操作规范等。</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根据医院规模、工作量及各岗位需求，合理配置具有执业资格的护士、消毒员和其他工作人员；配置有专科培训经历的专职护士长。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有消毒供应中心各项管理制度、工作职责、护理常规、专业技术规范和操作常规等。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有消毒供应中心各类应急预案，并定期演练。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护理人员知晓上述相关要求，有培训并按要求落实。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消毒供应中心有日常和定期监测自查、分析、整改。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主管部门对科室管理情况有监管、总结反馈，并检查科室整改落实情况。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93.5.7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无灭菌失败事件发生。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93.6采用外院提供消毒灭菌服务的医院，布局、流程符合要求，制定相关的管理制度，并按《医疗消毒供应中心管理规范（试行）》，实施全过程的监管。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有医院对外院提供消毒灭菌服务的管理制度，包括建立诊疗器械、器具和物品交接与质量检查、验收及追溯制度，并执行。应设专人负责。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对提供服务的医院或消毒服务机构的资质（包括具有医疗机构执业许可证或工商营业执照，并符合环保等有关部门管理规定）进行审核。并有辖区卫生健康行政部门组织的质量评价记录。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对外院的CSSD分区、布局、设备设施、管理制度（含突发事件的应急预案）及诊疗器械回收、运输、清洗、消毒、灭菌操作流程等进行安全风险评估，签订协议，明确双方的职责。每次交接应有交接联单。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医院设独立的污染器械收集暂存间，使用后器械及时进行预处理，并保湿密封保存。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医院设独立的无菌物品发放间，温度低于24℃,湿度低于70%，物品存放应距地面20-25cm，距墙壁5-10cm，距天花板50cm。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科室有定期自查，对存在问题有分析、整改，并及时向服务机构反馈质量验收、评价及使用过程存在的问题，并要求落实改进措施。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主管部门定期督导检查、分析、反馈，并检查科室及外院整改落实情况。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93.6.8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七、药事管理与临床药学服务质量保障与持续改进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（九十四）医院药事管理工作和药学部设置以及人员配备符合国家相关法律、法规及规章制度的要求；建立与完善医院药事管理组织，完善药事管理与临床药学服务各项规章制度并组织实施。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94.1医院设立药事管理与药物治疗学组织，健全药事管理体系。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设立药事管理与药物治疗学委员会，职责明确，有相应的工作制度，每季度召开会议落实相关工作，人员组成符合规定。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药学部负责药学专业技术服务、药事管理以及临床药学工作。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药事管理工作有年度计划和总结。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医务部门指定专人负责药物治疗相关的管理工作；与药学部有协调机制。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医院质控或监察等部门对药事管理相关工作有定期督查、分析、整改。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94.2建立完善的药事管理工作制度。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有药事管理相应的工作制度、岗位职责及培训要求，医务人员熟悉掌握并执行。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有优先使用国家集中采购中选药品的相关制度与措施。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有临床用药具体评价方法，有改进措施和干预办法；医院每年用药金额排序前十位的药品与医院性质及承担的主要医疗任务相符合。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药学部对药事管理工作定期自查、总结分析、整改。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完成国家集中采购中选药品的指标任务。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94.3根据医院功能任务及规模，配备药学专业技术人员，岗位职责明确。</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各级药学专业技术人员岗位职责明确，熟悉并履行本岗位职责。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从事药学各岗位工作的人员资质符合要求；具有药学（临床药学）专业全日制本科及以上学历的人员占比不低于药学专业技术人员的30%。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药学部负责人应具有药学（临床药学）专业本科及以上学历、本专业高级技术职务任职资格。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有药学专业技术人员培养、考核和管理相关规定，并有效执行。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主管部门对药学专业技术人员配备和任职情况有检查、监督、反馈。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94.3.6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（九十五）加强药品管理，规范药品遴选、采购、储存、调剂，建立全流程监测系统，保障药品质量和供应。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95.1有药品遴选制度，制定本医院“药品处方集”和“医疗机构药品目录 ”</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建立规范的药品遴选制度与程序，并严格执行。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医疗机构根据临床需要建立适当的医疗机构药品目录并进行动态管理，单品种品规符合《处方管理办法》规定，优先保障儿童、罕见病等特殊患者用药供应，建立医院“药品处方集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药学部对药品遴选及目录管理工作有自查、总结分析、整改。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95.2建立严格的药品采购供应管理制度与流程，有适宜的药品储备。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有药品采购供应管理制度与流程，供药渠道合法；药学部负责全院药品采购供应。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药品采购规范，按省市要求在交易平台上网上采购药品，采购数量及金额占比、回款天数符合平台要求，线下采购经医院审批，临时采购规范。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药品储备量与功能、任务和服务量相适应；根据药品用量评估药品储备情况，库存药品月周转1次以上。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药学部对药品采购供应，特别是线下和临时采购有定期自查、总结分析、整改。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95.3有药品贮存管理制度，贮存药品的场所、设施与设备符合有关规定。</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有药品贮存管理制度，定期对库存药品进行养护和质量检查，定期盘点、账实相符。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药品贮存场所、设施与设备满足药品质量管理要求；根据药品性质与特点，分库、分区、分类存放药品；按规定设置验收、退药、发药等功能区域。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药库管理由药学专业人员负责，科室或病区备用药品指定专人管理。执行药品有效期管理相关制度与处理流程，有质量控制措施和记录。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药学部对药品储存有定期自查、总结分析、整改。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95.4建立高警示药品，听似、看似等易混淆药品的目录和管理制度，全院统一执行。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建立高警示药品管理规定并全院执行。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对听似、看似药品、一品多规格或多剂型药品的存放，全院有统一的“警示标识”。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相关员工知晓警示标识含义和管理要求，能够识别和使用。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95.5对全院的急救等备用药品进行有效管理，确保质量与安全。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建立各诊疗科室的急救、备用药品管理制度。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各相关科室有急救备用药品目录及数量清单，实行基数管理，专人负责，每月检查；使用后及时补充，损坏或近效期药品及时报损或更换。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各科室急救车药品统一储存位置、统一规范管理、统一清单格式，并确保科室全体医护人员知晓率达到100%，保障抢救时及时获取。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临床科室对急救、备用药品有定期自查、总结分析、整改。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药学部每月对各科室急救及备用药品的管理与使用情况进行检查、分析、反馈，并检查科室整改落实情况。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95.5.6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95.6落实药品调剂制度，遵守药品调剂操作规程，保障药品调剂的准确性。</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制定门诊、住院（含互联网医院）药品调剂制度和操作规程。开展收费前（或流转前）处方/医嘱审核、干预，记录完整。有药品调配差错报告制度，有登记、分析及整改，记录完整。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调配给患者的药品标识有用法、用量和特殊注意事项；有口头用药交代或其它书面、视频用药指导资料。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调配给患者的药品经第二人核对；药房一人独立值班时有防止发药差错的核对措施，如双签字、调配时处方药品拍照事后核对、机器智能化核对等。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药品如需分装调剂，应有操作规程和记录。分包装上有药品名称、规格、剂量、批号、有效期、分装日期等信息。对病房（区） 口服药品实行单剂量配发，注射剂可按日剂量发药。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药学部对药品调剂质量管理有定期自查、总结分析、整改。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95.6.7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95.7建立药品质量监控体系，有效控制药品质量。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有药品质量管理组织，药品质量管理相关制度及质量管理指标，职责明确。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有药品质量监管信息平台，相关部门和人员可查询。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有药品质量（外观质量、效期等）及科室备用药品管理制度，相关部门和人员有定期检查并有记录。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对因病情变化、医嘱调整而产生的病房（区）退药进行有效管理。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药学部对全院药品质量管理定期进行督导检查、分析、反馈，并检查科室整改落实情况。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95.7.6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95.8建立药品召回管理制度，保障患者安全。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制定药品（含医院制剂）召回管理制度，并落实执行。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对存在质量问题的药品，应按规定及时报告有关部门并召回，妥善保存，保留原始记录；对调剂错误的药品，应及时追回。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有针对患者用药召回的处置预案与流程。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95.8.6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95.9有住院患者处方外配、自备药品管理规范及审核流程，保障临床用药安全。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有明确的住院患者外购和自备药品管理制度。明确住院患者原则上不得自行外购药品及使用自备药品，确因特殊情况需使用处方外配或自备药品的，应有全院统一的管理规定和审批流程，对手续不完备的处方外配药品、患者自备药品不得执行医嘱。医保谈判“双通道药品 ”不属于外购。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住院患者确需使用处方外购药品或使用自备药品的，医院应有统一规范的知情同意书，患者或授权家属签署同意后方得执行，知情同意书随病历归档。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凡住院患者使用处方外购药品或自备药品的，病历中需记录患者的特殊情况、具体使用药物、使用疗效及安全性等内容。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医务人员知晓规范并按规定执行。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临床科室对处方外购药品和自备药品使用情况有详细记录，并定期自查、总结分析，对存在问题有整改。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95.9.7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95.10建立完善的药品管理信息系统，与医院整体信息系统联网运行。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药品管理信息系统与医院信息系统联网运行，对药品价格及其调整、医保属性等信息实现综合管理。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有药库和药房药品进、销、存、使用等的实时管理及药品查询功能。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有适宜的合理用药监控软件系统。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有抗菌药物、麻醉药品、精神药品等处方权限信息化管理功能。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95.10.6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（九十六）实施临床药师制，积极参与临床药物治疗，促进合理用药，拓展药学服务范围。加强临床药师队伍建设和培训，提高临床药学服务能力和水平。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96.1建立临床药师制，按《医疗机构药事管理规定》配备临床药师，加强临床药师队伍建设和培训，提高临床药学服务能力和水平。</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建立临床药师制，临床药师配备数量符合国家相关规定，并全职专科从事临床药物治疗工作，至少在3类药物的临床应用中设有临床药师，其工作至少覆盖3个以上临床专业科室。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临床药师按有关规定参与临床药物治疗相关工作的时间≥60%。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对临床药师有培养计划及规范的培训管理，并纳入医院医疗技术人员培养计划。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建立临床药师绩效考核体系，促进临床药学工作发展。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药学部对临床药师开展工作情况有定期自查、总结分析、整改。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有数据、案例体现改进临床药师工作效果或形成新制度、规范、流程、举措等。具备临床药师培训资格，培训工作考核及格。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96.2临床药师按其职责、任务和有关规定参与临床药物治疗、咨询和用药教育，促进合理用药。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临床药师开展药学查房、医嘱重整、审核处方和用药医嘱适宜性等工作，对不合理用药及时进行干预，工作记录完整。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对重点患者实施药学监护和建立药历，记录完整，体现本人用药分析能力和对患者实施持续药学监护的过程。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参加病例讨论，提出用药意见和个体化药物治疗建议；参加院内疑难重症会诊和危重患者的救治。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为临床医师、护士提供合理用药培训和咨询，对患者进行用药教育，指导安全用药。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药学部对临床药师参与临床药物治疗工作有定期检查、总结分析、整改。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96.2.6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住院患者药学监护率不断提高，有数据、案例体现改进效果或形成新制度、规范、流程、举措等。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（九十七）按照有关法律法规、部门规章及临床用药指南和标准，加强抗菌药物、麻醉药品和精神药品、毒性药品、重点监控药品、基本药物、中药注射剂临床应用规范化管理。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97.1依据法律法规，建立和完善“麻醉药品、精神药品、医疗用毒性药品”等特殊管理药品及药品类易制毒化学品的使用与管理规章制度。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建立麻醉药品、精神药品、医疗用毒性药品等特殊管理药品及药品类易制毒化学品的使用管理制度。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执行麻醉药品、精神药品、医疗用毒性药品等特殊管理药品及药品类易制毒化学品的存放区域、标识、贮存和购买的相关规定。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定期对相关人员进行规范培训、考核，并遵循管理要求。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临床科室对特殊管理药品及药品类易制毒化学品管理有定期自查、总结分析、整改。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97.2对“麻醉药品、第一类精神药品”等特殊类药品实施“五专”和全程批号管理。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对“麻醉药品、第一类精神药品 ”等特殊类药品实行“五专 ”管理、全程批号管理，有每天清点结算制度并按要求实施。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麻醉和精神药品、其它易造成社会危害的管制药品（如七氟烷、复方地芬诺酯片、右美沙芬口服单方制剂、依托咪酯注射剂等）建立规范化管理制度，利用信息化及多种措施，全面落实麻精药品管理的各项要求，加强全流程环节管理，加强患者病历资料管理、历史处方的用药监测和点评，防止从医疗机构流入非法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开具的“麻醉药品、第一类精神药品”等特殊管理药品可溯源到患者；按规范要求回收、销毁空安瓿，数量、批号记录准确、完整。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有特殊管理药品发生意外情况的应急处理预案及上报要求，相关人员知晓并执行。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药学部每月对各科室特殊管理药品有自查、总结分析，对存在问题有整改。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主管部门对特殊管理药品进行督导、总结、分析、反馈，并检查科室整改落实情况。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97.3加强重点监控药物、中药注射剂的临床应用管理，减少不合理用药。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有重点监控药物、中药注射剂的管理制度，建立重点监控药品目录。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重点监控药物、中药注射剂使用合理，临床使用与药品说明书、“临床诊疗指南 ”及“临床路径 ”等相符。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定期对重点监控药物、中药注射剂的处方进行点评，实施临床使用监测与预警。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临床科室对重点监控药物、中药注射剂的使用和管理有定期自查、总结分析、整改。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97.3.6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（九十八）依照《处方管理办法》等有关规定，规范开展处方审核和处方点评，并持续改进。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98.1落实《处方管理办法》，规范医生处方权、药师调配权管理。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制定医院处方管理制度，对注册执业医师处方权、医师开具处方、药师调剂处方有明确规定。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医师处方签名或签章式样，在医务部门备案、药学部使用岗位存档；医师在处方和用药医嘱中的签字或签章与留样一致；实施电子签名的有相应管理措施，并与医务部门备案的签名或签章式样一致。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定期对医务人员进行处方管理法规及相关管理制度培训。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处方开具规范、完整，使用经药品监督管理部门批准并公布的药品通用名称、新活性化合物的专利药品名称和复方制剂药品名称。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98.2药师应按照《处方管理办法》、《医疗机构处方审核规范》等法规或规范，对处方进行适宜性审核，对临床不合理用药进行有效干预。</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依据《处方管理办法》的相关规定，药师及以上资质人员承担处方或医嘱的审核工作，对不规范处方、用药不适宜处方进行有效干预，及时与医生沟通。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门诊药房设有用药咨询窗口（台），或临床药师开展药学门诊，有主管药师及以上人员提供合理用药咨询服务，有咨询记录，并针对患者咨询的常见问题开展合理用药宣传工作。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不合理处方≤5%。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药学部对处方审核、不合理处方干预等管理情况定期自查、总结、分析，对存在问题进行整改。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98.3依据《医院处方点评管理规范（试行）》开展处方点评，建立药物使用评价体系。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制定医院处方点评制度及实施细则，处方点评组织健全，责任明确，对不合理用药进行干预。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定期对门诊处方和出院病历进行点评，点评处方（病历）数符合相关规定。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有特定药物或特定疾病的药物使用情况专项点评，每年至少开展1项，每项评价不少于2次。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药学部定期发布处方评价指标与评价结果，通报超常预警情况；点评结果纳入医院质量考核评价。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药学部定期对处方点评情况进行自查、总结、分析，对存在问题进行整改。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98.3.7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（九十九）建立药物监测和警戒制度，观察用药过程，监测用药效果，按规定报告药物不良反应，不良反应情况应记入病历。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99.1临床科室落实药物警戒和不良反应监测制度，及时发现、处置和报告不良反应。</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有药物监测和警戒制度，医师、药师、护士及其他医务人员均需对患者用药过程、用药反应、用药效果、不良作用等问题进行监测；重点监测非预期（新发现）的、严重的药物不良反应。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99.1.2</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医院有明确的药物警戒范围和预警措施、发布流程、反馈临床机制。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发生药品不良反应时，医务人员应按诊疗常规立即对患者进行处置，将全过程及处理结果如实记入病历中，并按规定上报；严重药品不良反应或特殊事件发生的，还需保存相关药品、物品留样等。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全院医务人员知晓相关制度并在日常工作中执行。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临床科室对药物警戒和药品不良反应监测情况有定期自查、总结分析、整改。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99.2建立安全用药监测体系，减少用药错误。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建立全院用药错误监控、预防、上报管理制度，管理部门明确。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临床科室有观察用药过程、监测用药效果、及时发现用药错误的流程，并对相关人员进行培训。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有用药错误应急管理预案，积极进行临床救治，做好医疗记录，保存好相关药品、物品的留样。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发生用药错误按规定上报，记录完整。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药学部定期对用药监测结果进行总结分析，对存在问题进行反馈和报告。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99.3建立突发事件药事管理应急预案，药学人员熟知并执行。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有突发事件药事管理应急预案，组织结构和人员职责具体明确，对突发事件善后工作及应急能力有明确规定。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有突发事件医疗救治药品目录，应急药品具有可及性和质量保证。有针对重大突发事件，大规模调集应急药品的保障方案。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有突发事件药事管理应急预案培训及演练，相关人员熟练掌握。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药学部有定期自查、总结分析与整改。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主管部门对应急药品和药学应急演练有检查与监管，对已发生突发事件中的药事管理工作有分析与反馈。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99.3.6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八、检查检验质量保障与持续改进（检验、影像）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（一百）临床检验部门、医学影像部门设置布局、设备设施分别符合相应规范标准，服务满足临床需要。临床检验和医学影像提供24小时急诊诊断服务。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100.1临床检验部门设置布局、设备设施分别符合相应规范标准，临床检验项目满足临床需要，提供24小时急诊检验服务。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全院临床实验室集中设置，统一管理，资源共享，布局、设备设施分别符合相关规定。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开展的检验项目满足临床基本需要；根据临床各学科诊治病种需求，及时增加新项目。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能提供24小时急诊检验服务，具体检验项目有明确规定，急诊临检三大常规（即血常规、尿常规、粪便常规）项目报告时间≤30分钟，凝血、血型项目≤60分钟、急诊生化和免疫项目报告时间≤2小时，并执行。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对委托其他机构所开展的检验项目，应签署委托服务协议，并有质量保证条款。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至少每年一次向临床征求对项目设置合理化的意见，确保检验项目满足临床需要。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100.2检验项目、设备、试剂与校准品管理符合现行法律法规及卫生行政部门标准的要求。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检验项目符合准入范围，检验仪器、试剂及校准品符合国家标准和准入范围的相关资料，并有批准文号，有相关管理制度。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对各项技术参数，包括准确度、精密度、灵敏度、线性范围、干扰及参考范围有规定。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检验设备、试剂医院统一采购，渠道合法；试剂与校准品有使用登记。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对相关法律法规、规章制度、岗位职责有培训并落实。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科室对项目和仪器、试剂与校准品管理有自查，对存在问题有分析、整改。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主管部门对检验项目、设备、试剂及校准品管理使用情况有监管，定期分析、反馈，并检查科室整改落实情况。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100.3规范病理学诊断项目对外委托服务管理，保障病理质量，满足临床需要。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100.3.1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根据医院的资源情况，病理学诊断服务项目可与有资质的医疗机构或经省市卫生行政部门审批通过医学检测机构签订对外委托服务协议，并有明确的服务形式与质量保障条款。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对外委托服务协议中，有对危急值报告以及各类报告的时限与诊断质量等有明确的管理要求。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100.3.3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医院有指定部门和专人负责标本收集、报告接收与发放、质量监管与评价等跟踪服务，发现问题及时向被委托的检测机构反馈。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被委托检测机构有定期开展检测项目质量的自查、总结分析，对存在问题有整改。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主管部门对对外委托服务项目工作有监管，有检查整改落实情况。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100.4医学影像部门设置布局、设备设施分别符合相应规范标准，服务满足临床需要，提供24小时诊断服务。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医学影像服务与医疗机构执业诊疗科目许可登记项目相符合，执业文件齐全并在有效期内。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X线摄影、超声检查、CT提供24小时检查服务。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有明确的服务项目、报告时限的规定并公示，相关人员知晓并遵循执行。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100.4.6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（一百零一）从事临床检验和医学影像诊断工作和技术工作的人员资质应该按照有关规定取得相应专业技术职务任职资格。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101.1有明确的临床检验专业技术人员资质要求。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临床检验工作的专业技术人员应当具有相应的专业学历，并取得相应专业技术职务任职资格。科室负责人具备检验专业副高及以上技术职称。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有相应人员管理制度并落实。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HIV初筛检验人员经培训考核后持卫生行政管理部门核发的上岗证方可独立工作。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科室对临床检验专业技术人员资质管理有自查，对存在问题有分析、整改。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101.2从事医学影像诊断和技术工作人员资质符合相应专业技术职务任职资格。</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医师、技术人员和护士配备符合相关规范，满足工作需要。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各级各类人员具有相应资质及执业资格。科主任具备副主任医师及以上专业技术任职资格。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根据医院功能任务与设备的种类设若干专业组，各专业组设置合理，人员梯队结构合理，符合学科发展和临床服务需求。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（一百零二）有临床检验和医学影像诊疗场所管理制度、安全程序、标准操作流程和技术操作规范，遵照实施并准确记录。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102.1建立临床检验管理制度、安全程序、标准操作流程和技术操作规范，遵照实施并准确记录。</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建立临床检验科各个场所、不同岗位管理制度、安全程序、标准操作流程和技术操作规范，科主任为科室质量与安全第一责任人，各实验室设置安全员，定期培训全体人员，知晓各项制度、规范并落实。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102.1.2</w:t>
            </w:r>
          </w:p>
        </w:tc>
        <w:tc>
          <w:tcPr>
            <w:tcW w:w="6978" w:type="dxa"/>
            <w:gridSpan w:val="2"/>
            <w:shd w:val="clear" w:color="auto" w:fill="auto"/>
          </w:tcPr>
          <w:p>
            <w:pPr>
              <w:spacing w:line="240" w:lineRule="exact"/>
              <w:textAlignment w:val="top"/>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实验室生物安全分区合理、标识明确，合理安排工作流程以避免交叉感染。从事病原微生物实验活动的实验室应当符合《病原微生物实验室生物安全管理条例》规定。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102.1.3</w:t>
            </w:r>
          </w:p>
        </w:tc>
        <w:tc>
          <w:tcPr>
            <w:tcW w:w="6978" w:type="dxa"/>
            <w:gridSpan w:val="2"/>
            <w:shd w:val="clear" w:color="auto" w:fill="auto"/>
          </w:tcPr>
          <w:p>
            <w:pPr>
              <w:spacing w:line="240" w:lineRule="exact"/>
              <w:textAlignment w:val="top"/>
              <w:rPr>
                <w:rFonts w:ascii="仿宋_GB2312" w:hAnsi="宋体" w:eastAsia="仿宋_GB2312" w:cs="仿宋_GB2312"/>
                <w:sz w:val="24"/>
                <w:szCs w:val="24"/>
              </w:rPr>
            </w:pPr>
            <w:r>
              <w:rPr>
                <w:rFonts w:hint="eastAsia" w:ascii="仿宋_GB2312" w:hAnsi="宋体" w:eastAsia="仿宋_GB2312" w:cs="仿宋_GB2312"/>
                <w:sz w:val="24"/>
                <w:szCs w:val="24"/>
                <w:lang w:eastAsia="zh-CN"/>
              </w:rPr>
              <w:t>微生物实验室有专人负责菌（毒）种管理。有微生物菌种、毒株检测样品收集、取用的过程记录。有相应的应急预案。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实验室配置充足的安全防护设施，包括洗眼器及其他急救设施等，并处于正常工作状态；实验室出口处设有手消毒设施；对生物安全、易燃易爆危险化学品等有警示标识。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有检验标本采集运输指南、标本交接规范与流程；标本处理和保存由专人负责，有标本接收、拒收和废弃的记录，对标本进行全程跟踪。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102.1.8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102.2医学影像部门建立健全各项规章制度和技术操作规范，场所配备紧急抢救用的药品器械，相关人员具备紧急抢救能力。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有影像质量控制相关的规章制度、岗位职责、技术规范、操作常规。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有放射安全管理相关制度及医学影像设备、场所定期检测制度。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工作场所配备紧急抢救药品器材，相关人员经过急救培训，具备紧急抢救能力。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102.2.7</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医学影像部门有院内发热患者检查管理制度，包括检查区域划分、发热患者专用检查路径、发热病人使用设备前后消毒处置操作规范化流程等。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（一百零三）临床检验和医学影像报告及时、准确、规范，并严格执行审核制度。建立临床沟通机制，提供便捷、及时的检查检验信息服务。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103.1检验报告管理制度落实，格式规范、统一检验，并严格执行检验报告双签字制度，保证每一项检验结果的准确性。</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有检验报告管理制度、标准与流程，实行检验报告双签名制度和复检制度，检验科全体人员熟知并落实。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有检验报告书写规范，格式统一、符合要求，包含中文或中英文对照的检测项目名称、患者信息、标本类型、样本采集时间、结果报告时间等；检验报告采用国际单位或权威学术机构推荐单位，并提供参考范围。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有检验报告审核者资质、技术水平和业务能力标准并落实；审核检验报告时，识别并保留分析前不合格标本和复检标本的相关记录，重点识别标本分析前阶段由于标本不规范所带来的结果错误。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103.2检验结果报告时间满足临床诊疗需求，与临床建立有效的沟通方式。实验室信息管理完善。</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有常规检测项目报告时限（TAT）要求，临检常规项目≤30分钟出报告；生化、免疫常规项目≤1个工作日出报告；微生物常规项目≤4个工作日。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实验室与临床科室有多种形式和途径的沟通，满足临床科室对检验项目的咨询，并对新开展项目有宣传途径，解答临床对结果的疑问。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建立实验室信息管理系统，与医院信息系统联网。实验室数据至少保留2年以上在线查询资料。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103.3医学影像诊断报告及时、规范，严格执行审核制度。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有诊断报告书写规范、审核制度与流程，对报告医师资质、时限有明确的管理要求。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有影像疑难病例讨论、随访与反馈制度。有明确的疑难病例讨论范围。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有建立与临床病例讨论机制；定期召开由科主任或副主任医师以上人员主持的疑难病例讨论与读片会。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有上述制度与流程的培训，相关人员知晓基本要求并落实。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103.3.7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（一百零四）落实全面质量管理与改进制度，开展室内质量控制和室间质量评价。相关检查检验设备（含床旁检查检验设备）按照要求定期检测。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104.1常规开展室内质控，室间质评或能力验证计划，保证检测系统的完整性和有效性。</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实验室全部检测项目及不同标本类型均有室内质控管理制度；每检测批次至少保证有1次室内质控结果，并有负责人签字。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有覆盖检验项目从标本采集到结果发放全过程的质量管理制度、标准和规范。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按要求参加省级或国家级室间质量评价，室间质评或能力验证应覆盖实验室内主要检测项目及不同标本类型。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有专人负责仪器设备保养、维护与管理。对需要校准的检验仪器、检验项目和对临床检验结果有影响的辅助设备定期进行校准。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104.2 POCT（现场快速检测）项目统一管理，均应开展室内质控，并参加室间质评。</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建立POCT项目统一管理制度，有指定部门负责POCT管理，有院内POCT项目清单。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检验科按规定对POCT项目进行质控监管。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POCT设备按要求进行室内质控或比对，结果有工作记录，参加室间质评。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104.3 医学影像采用多种形式，开展图像质量评价活动。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采取多种形式，开展图像质量评价活动。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有图像质量评价小组，定期对图像质量进行评价。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将图像质量评价结果纳入相关技术人员能力评价与授权。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科室检查设备（含床旁检查设备）按照要求定期检测。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104.3.7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（一百零五）按照有关规定建立临床检验和医学影像环境保护及人员职业安全防护制度，遵照实施并准确记录。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105.1按照有关规定建立临床检验人员职业安全防护制度，遵照实施并准确记录。</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按照行业规范制定人员职业安全防护管理制度与流程，相关人员知晓并执行，有记录。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提供符合国家标准的消毒与防护用品，配备完整、数量充足，便于工作人员获取和使用。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对相关人员进行培训，包括标准预防、不同传播途径所采取的防护措施、防护用品的正确使用、职业暴露后应急处理等。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科室对人员职业安全防护执行情况有自查，对存在问题有分析、整改。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主管部门对科室职业安全防护的执行情况有监管，定期分析、反馈，并检查整改落实情况。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105.2有医学影像设备定期检测、放射安全管理等相关制度，有受检者和工作人员防护措施，制定放射安全事件应急预案并组织演练。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有放射安全管理相关制度，有医学影像设备、场所定期检测和放射废物处理相关规定。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有放射防护器材、个人防护用品管理制度。放射人员有放射防护档案与健康档案。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有放射安全事件应急预案，有辐射损伤具体处置流程和规范，并组织相关人员培训、演练。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有上述制度与流程的培训，相关人员知晓基本要求并落实。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105.2.7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（一百零六）建立健全本机构内的检查检验结果互认工作管理制度，加强人员培训，规范工作流程，为医务人员开展互认工作提供必要的设备设施及保障措施。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106.1按照国家法律法规和行业规范，建立机构内检查检验结果互认管理制度、工作流程并落实，为开展检查检验结果互认提供必要设备设施及保障措施。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按照国家法律法规和行业规范，建立本机构内检查检验结果互认管理制度与工作流程，明确检查检验结果互认范围和规范。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医院信息系统能提供院内检查检验结果互认支持，保证医护人员在门诊和住院系统均可查询患者检查检验结果并做到互连互通。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医院和科室定期对全体医务人员开展检查检验结果互认相关制度规范培训，病人检查检验结果互认情况应在病历中注明。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临床科室定期对本部门检查检验结果互认实施情况有自查，对存在问题有分析、整改。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主管部门定期对临床科室开展检查、抽查病历，对未按规范开展检查检验结果互认的科室、个人应及时反馈，督促整改。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有数据或案例体现院内检查检验结果互认改进效果。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九、输血管理与持续改进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（一百零七）落实《中华人民共和国献血法》《医疗机构临床用血管理办法》和《临床输血技术规范》等有关规定，医院应当具备为临床提供24小时输血服务的能力，满足临床工作需要。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107.1输血科或血库设置与医院功能和临床科室诊疗需求相适应，职责明确并执行到位；为临床提供24小时输血服务的能力，满足临床工作需要。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根据医院功能和临床科室诊疗需求设置输血科或血库，房屋设施和仪器设备符合国家相关要求，布局符合卫生学要求，污染区与非污染区分开。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血库人员配置合适，满足临床用血需要；负责人具有输血技术工作五年以上；不具备条件设置输血科或血库的，应安排专（兼）职人员负责临床用血工作。有输血科或血库工作制度、岗位职责、相关技术规范与操作规程，并对工作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有应急用血的后勤（通信、人员、交通）保障能力，确保急救抢救用血。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输血科或血库有自查，主动征求临床科室对输血管理工作的意见和建议，对存在问题有分析、整改。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无使用非法渠道采供血和自供血液行为。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107.2依据《中华人民共和国献血法》《医疗机构临床用血管理办法》和《临床输血技术规范》制定医院临床用血、输血全过程管理制度，保障临床用血安全。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相关法律法规，制定并实施临床输血管理相关制度和实施细则（内容覆盖本机构临床输血管理的全过程）、临床用血管理制度（内容包括用血申请分级管理、临床科室和医师临床用血评价及公示等）与医院临床用血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每年至少一次对全院医务人员进行临床输血相关法律、法规、规章制度、输血知识等培训，并有考核；用血科室有针对本专业特点进行相关输血知识培训。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输血科或血库有自查，对存在问题有分析、整改。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（一百零八）加强临床用血过程管理，严格掌握输血适应证和输血技术操作规范，促进临床安全、有效、科学用血。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108.1执行输血前相关检测规定，输血前向患者及其近亲属告知输血的目的和风险，并签署“输血治疗知情同意书”。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为准备输血的患者进行血型及感染筛查（肝功能、乙肝五项、HCV、HIV、梅毒抗体）的相关检测能力，并开展相关检测。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有输血前医患双方共同签署的输血治疗知情同意书，同意书保存在病历中。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用血申请单格式规范，书写符合要求，信息记录完整。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108.2严格掌握输血适应症，落实临床用血申请、审核制度；促进临床合理用血。</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有临床用血前评估和用血后效果评价管理制度，内容应包括根据患者病情和实验室检测结果，进行输血指征综合评估的指标。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按照输血规范，严格掌握输血适应症申请用血，用血申请单应明确书写用血原因。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无特殊原因，输血患者应施行成分输血。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医务人员熟知相关制度并严格执行。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指导临床合理用血。配合临床用血事件及输血不良反应的调查。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科室对合理用血情况有自查、总结、分析、整改；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主管部门对科室、个人合理用血有监管、评价并公示。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108.2.8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108.3有临床输血过程的质量管理监控及效果评价的制度与流程。输血治疗病程记录完整详细。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各科室有临床输血技术规范并全员培训；医院有制定输血全过程质量监控的管理制度、评价指标。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从发血到输血各个交接环节符合规范并有完整记录，时间应精确到分钟。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所使用的输血器和辅助设备符合国家标准、操作规范与流程；血液发出后，受血者和供血者标本于2℃-6℃保存至少7天。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按照《临床用血管理办法》和《病历书写规范》书写输血全过程治疗记录和输注后效果评价，手术输血患者的手术记录、麻醉记录、护理记录和术后记录中输血量与发血量要一致。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输血科或者血库与临床用血科室有自查，对存在问题有整改。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主管部门对输血全过程制度的落实情况有监管，定期分析、反馈，并检查科室整改落实情况。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108.3.7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（一百零九）建立与麻醉科和手术科室有效沟通，严格掌握术中输血适应证，合理、安全输血。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109.1与麻醉科和手术科室保持有效沟通，严格掌握术中输血适应证。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有手术中用血的相关制度与流程，参与手术人员知晓并严格掌握手术用血指征。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有输血科或者血库与麻醉科沟通的流程并落实，保障术中输血及时、合理、安全。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科室对异体输血管理情况有自查，对存在问题有改进措施。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109.1.5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（一百一十）开展血液质量管理监控，制订、实施控制输血严重危害（输血传染疾病、严重不良反应）的方案。落实输血相容性检测管理制度和实验质量管理要求，确保输血安全。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110.1建立输血管理信息系统，做好血液入库、贮存和发放管理。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有输血管理信息系统，有制度对血液预订、接收、入库、贮存、出库等进行管理，保证血液贮存、运送符合国家有关标准和要求。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输血科或者血库工作人员严格按要求接收血站发送的血液，核对血袋标签、血液入库，并做好登记；禁止将血袋标签不合格的血液入库。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由医务人员负责血液的领取工作，血液发放时进行发、领双方同时核对，核对内容符合国家要求，核对记录可查询、追溯。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输血科或血库有自查，对存在问题有分析、整改。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信息系统完善，无发生血液质量问题。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110.2落实临床用血不良事件报告制度，有控制输血严重危害，包括输血传染疾病、严重不良反应的方案与实施情况记录；有输血相关应急预案，并得到落实。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根据国家有关法律法规和规范建立临床用血不良事件监测报告制度。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有控制包括输血传染疾病、严重不良反应等输血严重危害发生的预案，及一旦发生的处理方案；有其他输血相关应急事件的处理预案。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相关人员知晓临床用血不良事件报告制度及各类应急预案处置流程，并能执行。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主管部门有监管，定期分析、反馈，提出整改意见并检查整改落实情况。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有数据体现改进效果或形成新制度、规范、流程、举措等。无输血严重危害事件发生。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110.3落实输血相容性检测管理制度。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有输血相容性检测实验室管理制度，输血前检验项目包括：血型ABO反正定型、RH(D)、交叉配血、输血感染性疾病免疫标志物等。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需要输血的患者、手术患者和有创诊疗操作患者应进行输血相容性检测检查。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交叉配血必须采用能检查不完全抗体的实验方法。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用于输血相容性检测的试剂应符合相应标准。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110.4开展实验室室内质控，室间质评，确保输血安全。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有室内质控管理规定，包括：质控品的技术规则定义，质控品常规使用前的确认，实施质控的频次，质控品检测数据分析方法，质控规则的选定等。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有试验有效性判断和失控的判定标准。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对失控的结果有调查分析、处理，并记录。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参加省级或国家级室间质评时，应按常规检测方法与常规检测标本同时进行，不得另选检测系统，且成绩合格。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主管部门有监管，定期分析、反馈，并检查整改落实情况。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110.4.7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十、医院感染管理与持续改进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一）按照《医院感染管理办法》《医疗机构感染预防与控制基本制度（试行）》，建立医院感染管理组织，建立院感多部门协调机制。完善医院感染管理与控制制度，有医院感染事件应急预案并组织实施，开展医院感染预防控制知识与技能的全员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111.1依据《医院感染管理办法》《医疗机构感染预防与控制基本制度（试行）》建立医院感染管理组织，建立院感多部门协调机制，负责医院感染管理工作。</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院感染管理委员会-医院感染管理部门-临床科室”三级医院感染监控体系，有制度及职责。医院感染管理委员会各组成成员符合《医院感染管理办法》《医疗机构感染预防与控制基本制度（试行）》要求，并履行在院感管理中的各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医院感染管理纳入医院总体工作规划和质量与安全管理目标。并依据上级部门与医院感染管理的有关要求，制定工作实施计划并落实。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有医院感染管理部门的负责人，负责人应专职从事院感工作五年以上；临床科室有兼职的医院感染管理质量控制人员。有相关人员岗位职责，并履行。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建立医院感染管理部门、临床科室、微生物实验室或检验部门、药学、护理等多部门协调机制，有具体落实方案并执行。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对院科两级医院感染管理组织工作及制度落实情况有监督检查，定期召开专题会议，对感染管理现状进行分析，对存在问题有反馈、整改。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对卫生行政部门检查中发现的问题，及时整改，并调整完善工作计划和内容。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111.2制订相应的规章制度，将医院感染的预防与控制贯彻于所有医疗服务中。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有根据相关法律法规不断修订和完善医院感染的预防与控制制度。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有针对医院所有医疗活动和工作流程而制定的具体措施，并落实。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医院感染管理相关人员熟知相关制度、工作流程及所管辖部门院感特点。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全体员工知晓本部门、本岗位有关医院感染管理相关制度及要求，并执行。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科室对医院感染管理工作的落实情况有自查，对存在问题有分析、整改。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111.3医院有感染管理培训计划、培训大纲和培训教材，实施全员培训。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有针对各级各类人员制定的医院感染管理培训计划、培训大纲和培训内容。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按计划开展相关培训并有考核。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相关人员掌握相关知识与技能。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科室对人员培训的落实情况有自查，对存在问题有分析、整改。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111.4医院有感染事件报告流程与处置预案。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有医院感染事件报告流程与处置预案。有多种形式与渠道，使医务人员和医院感染的相关管理人员及时获得医院感染的信息。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有医院感染事件的报告和处置预案控制的有效措施，按要求上报。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相关人员知晓医院感染事件报告流程和处置预案。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根据医院感染事件制定各类演练方案，并进行演练。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建立健全本单位突发公共卫生事件报告和风险管理机制，做好传染病和突发公共卫生事件的发现、登记、报告。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科室有自查，有医院感染事件处置演练效果评价报告，对存在问题有分析、整改，相关资料可查询。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111.4.8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（一百一十二）按照《医院感染监测规范》，加强重点部门、重点环节、重点人群与高危险因素监测，控制并降低医院感染风险。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112.1实施重点部门、重点环节、重点人群与高危险因素的监测，有具体预防控制措施并实施。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根据相关规范要求并结合医院实际，确定本医疗机构的重点部门、重点环节、重点人群与高危险因素，制定监测计划和管理措施，并落实。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有对感染较高风险的科室（如重症医学科、手术室、口腔科、内镜室、消毒供应中心等）感染控制情况进行风险评估，并制定针对性的控制措施，严格执行。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有下呼吸道、手术部位、导尿管相关尿路、血管导管相关血流等主要部位感染的预防控制的相关制度与措施，并落实。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医院信息系统能够对重点环节、重点人群与高危险因素监测及分析。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112.2内镜诊疗工作符合医院感染管理相关法律法规和《软式内镜清洗消毒技术规范》的要求。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根据《医院感染管理办法》《软式内镜清洗消毒技术操作规范》等规章要求制订相关制度、流程，并执行。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消毒隔离工作符合规范要求；医务人员能够获得并正确使用符合国家标准的消毒与防护用品。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内镜的清洁、消毒及灭菌符合要求，提供安全的诊疗操作。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112.3口腔诊疗工作符合医院感染管理相关法律法规和《医疗机构口腔诊疗器械消毒技术操作规范》的要求。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根据《医院感染管理办法》《口腔诊疗器械消毒技术操作规范》等规章要求制订相关制度、流程，并执行。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消毒隔离工作符合规范要求；医务人员能够获得并正确使用符合国家标准的消毒与防护用品。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医疗器械的清洁灭菌符合国家规范，提供安全的诊疗操作。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布局流程合理，符合规范。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112.4有血管内导管相关感染的制度、规范、联合监测及评价机制，并落实相关预防与控制措施，降低血管内导管相关血流感染发生率。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成立由医务、护理、院感、临床科室等相关部门组成血管内导管相关血流感染防控专项工作小组，并指定牵头部门。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有预防血管内导管相关感染的规章制度，制定并落实预防与控制血管内导管相关感染的工作规范和操作规程，明确相关责任部门和人员职责，并定期开展培训。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有医务人员评估患者发生血管内导管相关感染风险因素的机制，按规范实施预防和控制血管内导管相关感染措施。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有监测及评价机制，明确相关质控指标数据采集方法和数据内部验证程序，按科室进行数据分析、反馈，考评结果纳入绩效管理，建立激励和约束机制。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医院运用质量管理工具，查找、分析影响医院降低血管内导管相关血流感染发生率的因素，根据分析结果明确关键原因，制定改进措施并组织实施。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112.4.7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（一百一十三）医院感染管理组织要监测医院感染危险因素、医院感染率及其变化趋势，定期开展风险评估并持续改进诊疗流程；定期通报医院感染监测结果并加强横向比较。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113.1医院感染专职人员和监测设施配备符合要求，有医院感染监测指标体系，按照《医院感染监测规范》开展监测工作，并加强横向比较、定期开展风险评估、持续改进诊疗流程。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医院感染管理专职人员和监测设施配备符合要求。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按照相关规范要求建立医院感染监测制度、指标体系和流程，制定医院监测计划，组织开展目标性监测、全院综合性监测等监测工作，并定期通报医院感染监测结果。监控应覆盖高风险科室和环节，监测的目录/清单范围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科室能按照制度和流程要求，监测《医院感染监测规范》要求的全部项目，并有记录。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有本院监测信息收集与反馈渠道，保证信息质量，保存原始记录文件。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有医院感染监测记录与分析报告，并了解本地区其他同类医院感染监测信息，进行横向比较分析，提出改进建议。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定期开展感控风险评估并反馈，对医院感染风险、医院感染率及变化趋势提出预警和改进诊疗流程等建议，并检查科室整改落实情况。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（一百一十四）消毒、灭菌和隔离工作符合相关标准和规范要求，工作人员能获得并正确使用符合国家标准的消毒与防护用品；重点部门、重点部位的管理符合要求。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114.1根据国家相关法律法规，结合医院实际情况，制定全院和各部门的消毒、灭菌工作制度及标准规范。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有全院和重点部门（如重症医学科、手术室、口腔科、内镜室、消毒供应中心等）的消毒工作制度，并执行。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有满足消毒要求的消毒设备、设施与消毒剂，符合国家的有关要求，质量和来源可追溯。能根据医疗物品危险性选择正确的消毒、灭菌方法，确保消毒灭菌效果。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定期针对消毒开展常规监测，包括消毒液的浓度监测、紫外线灯的强度监测以及必要的消毒后生物监测等，并有记录。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有对医务人员进行相关知识、消毒技术的教育与培训，有培训考核记录。相关人员知晓上述内容并落实。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科室对消毒工作制度与流程的落实情况有自查，对存在问题有分析、整改。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114.2制定符合要求的隔离管理制度，有不同传播途径疾病的隔离与防控措施；医务人员正确使用消毒和防护用品。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有针对感染性疾病、免疫低下等患者的隔离制度及操作流程。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针对诊疗过程中出现或者可能出现的感染传播风险，采取有效屏障和隔离措施，为隔离患者和相关医务人员提供符合国家标准的个人防护用品。隔离设施及物品配备能满足临床需要。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医务人员掌握隔离的原则、标准、技术，并能正确使用防护用品。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科室对隔离制度与操作流程的落实情况有自查，对存在问题有分析、整改。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（一百一十五）按照《医务人员手卫生规范》，建立医院手卫生管理制度。正确、充分配置有效、便捷的手卫生设备和设施，加强手卫生落实情况监管。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115.1按照手卫生规范，制定手卫生相关管理制度，医务人员在临床诊疗活动中应严格遵循。正确配置有效、便捷的手卫生设备和设施，为执行手卫生提供必需的保障与有效的监管措施。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根据手卫生规范要求制定手卫生管理相关制度。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根据手卫生规范要求，感染高风险部门和治疗室、换药室、注射室应配置有效、齐全、便捷的手卫生设施。有手卫生相关要求（洗手方法、外科洗手操作规程等）的宣教图示。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各相关部门为医务人员提供手卫生培训。医务人员能落实手卫生规范。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科室对手卫生设施设备配置及手卫生规范执行情况有自查，对存在问题有分析、整改。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有数据显示医务人员的手卫生依从性、正确性改进效果或形成新制度、规范、流程、举措等。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（一百一十六）有多重耐药菌医院感染控制管理规范与程序，有多部门共同参与的多重耐药菌管理合作机制。应用微生物室检测和医院感染管理数据信息指导临床合理使用抗菌药物。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116.1有多重耐药菌医院感染控制管理规范与程序，有多部门共同参与的多重耐药菌管理合作机制，对多重耐药菌医院感染实施监管与改进。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针对多重耐药菌医院感染的诊断、监测、预防和控制等各个环节，结合实际工作，制订并落实多重耐药菌感染管理的规章制度和防控措施。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有对多重耐药菌控制落实的有效措施，包括手卫生措施、隔离措施、无菌操作、合理使用抗菌药物、保洁与环境消毒的制度等。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临床微生物实验室根据检测结果，开展抗菌药物敏感性分析，并指导临床工作。至少每半年向全院公布一次临床常见分离细菌菌株及其药敏情况，包括全院和重点部门多重耐药菌的检出变化情况和感染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有临床科室、微生物实验室或检验部门、医院感染管理部门等在多重耐药菌管理方面的协作机制，并有具体落实方案。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116.2有细菌耐药监测及预警机制，各重点部门应了解其前五位的医院感染病原微生物名称及耐药率。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建立细菌耐药监测及预警机制，有细菌耐药监测变化趋势图，并每半年进行反馈。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各重点部门了解其前五位的医院感染病原微生物名称及耐药率。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有临床治疗性使用抗菌药物的微生物送检率年度统计分析。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有临床治疗性使用抗菌药物种类与微生物检测种类年度统计分析。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主管部门有监管，根据监测信息，主管部门、药事管理组织联合开展评估，制定干预措施，指导临床合理使用抗菌药物，并检查科室落实整改情况。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116.2.7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（一百一十七）建立侵入性器械/操作相关感染防控制度。有医院侵入性器械、所开展手术及其他侵入性诊疗操作名录，制订相关防控措施并实施数据监测。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117.1建立侵入性器械、手术及其他侵入性操作相关感染防控制度及名录，制订相关防控措施并实施数据监测。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侵入性诊疗器械、手术及其他侵入性诊疗操作（包括介入诊疗操作、内镜诊疗操作、CT/超声等引导下穿刺诊疗等）相关感染防控制度，并制定相关防控措施以及防控措施执行依从性监测的规则和流程，相关人员知晓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建立本机构诊疗活动中使用的侵入性诊疗器械、所开展手术及其他侵入性诊疗操作的名录。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实施临床使用侵入性诊疗器械相关感染病例、手术及其他侵入性诊疗操作相关感染病例的目标性监测，并开展相关感染防控措施执行依从性监测。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根据患者病情和拟施行手术及其他侵入性诊疗操作的种类进行感染风险评估，并依据评估结果采取针对性的感染防控措施。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手术及其他侵入性诊疗操作使用抗菌药物预防符合规范要求。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117.1.8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一百一十八）按照有关法律法规，建立医院医疗废物、废液管理责任制，健全组织架构、管理制度和工作机制，落实岗位职责。医疗废物的分类、收集、运送、暂存、转移、登记造册和操作人员职业防护等符合规范。加强相关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118.1建立健全医疗废物、废液管理组织架构、管理规章制度和相关人员岗位职责。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w:t>
            </w:r>
            <w:r>
              <w:rPr>
                <w:rFonts w:eastAsia="仿宋_GB2312"/>
                <w:sz w:val="24"/>
                <w:szCs w:val="24"/>
                <w:lang w:eastAsia="zh-CN"/>
              </w:rPr>
              <w:t xml:space="preserve"> 1. 1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医院有医疗废物、废液领导小组及医疗废物、废液的监管部门，并明确职责；制订医疗废物、废液处理管理规章制度和相关人员岗位职责。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医疗废物、废液处理系统符合相关法律法规的要求。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有专人负责医疗废物、废液处理工作，上岗前与在岗期间持续接受相关知识培训，相关人员个人防护符合规范要求。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相关科室按要求进行医疗废物、废液的分类、收集、运送、暂存、转移等处置并有记录。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科室有自查，对存在问题有分析、整改。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118.1.7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十一、康复质量保障与持续改进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（一百一十九）康复专业科室设置符合二级康复医院设置标准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119.1临床科室设置符合二级康复医院要求临床科室：至少设置骨与关节康复科、神经康复科、儿童康复科、老年康复科、心肺康复科、疼痛康复科、听力视力康复科、烧伤康复科中的4个科室以及内科、外科、重症监护室。</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至少设置骨与关节康复科、神经康复科、儿童康复科、老年康复科、心肺康复科、疼痛康复科、听力视力康复科、烧伤康复科中的4个科室。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设置内科、外科和重症监护室。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根据医院业务需求，新增其他临床科室。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康复疗效显著，持续改进有成效。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119.2治疗科室符合二级康复医院设置标准，至少具备物理治疗、作业治疗、言语治疗、传统康复治疗功能等4个治疗科室。</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治疗科室设置齐全。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治疗科室设置齐全，业务有序开展。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根据医院业务需求，新增其他治疗科室。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119.3评定科室符合二级康复医院设置标准，至少设运动平衡功能评定室、认知功能评定室、言语吞咽功能评定室、作业日常活动能力评定室、心理评定室、神经电生理检查室、心肺功能检查室、听力视力检查室、职业能力评定室中的5个。</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至少设置运动平衡功能评定室、认知功能评定室、言语吞咽功能评定室、作业日常活动能力评定室、心理评定室、神经电生理检查室、心肺功能检查室、听力视力检查室、职业能力评定室中的5个。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根据医院业务需求，新增其他评定科室。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119.3.3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评定工作开展有序，持续改进有成效。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（一百二十）医院内部管理机制科学规范，康复学科管理科学有效，患者康复治疗满意度高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120.1有临床康复诊疗指南及康复治疗技术操作规范，进行相应的评估和治疗服务。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科室有各项管理制度、康复指南、康复治疗技术操作规范及流程，及时更新。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科室有指南和技术操作规范的培训计划、考核标准和实施记录，医务人员知晓并规范执行。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有完善的康复诊疗计划、评价记录及出院服务计划，根据病情适时调整治疗方案。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科室对落实情况有自查、评价、考核和记录，有改进措施。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主管部门进行检查、反馈，对存在的问题督促整改。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康复疗效显著，持续改进有成效。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120.2根据业务定位，组建相应的专科康复团队，人力配备经过专业训练，能够胜任专科临床工作，建立相关制度和程序。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根据业务定位的需要，有专科康复团队服务模式。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以康复小组的团队模式开展工作，如康复评价会、团队交班、团队查房、疗效评估等。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有相应的岗位设置标准。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有管理制度和工作流程。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有人才梯队与诊疗技术能力的培训、考核，满足临床需要。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科室对落实情况有自查、评价、分析、反馈和整改措施。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主管部门履行监管职责，有反馈。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120.2.8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120.3有亚专科或亚专业方向的团队</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120.3.1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根据业务定位的需要，亚专科或亚专业方向的团队建设有相应的管理模式和制度，由相对固定的医师、治疗师、护理人员组成。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科室和主管部门有定期检查、考核、反馈，对存在的问题有整改措施。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持续改进有成效，专科特色显著。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120.4制定康复业务工作流程，强调康复评价的响应时间。</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有康复业务工作流程。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医师、治疗师和护士等康复协作组成员根据康复业务工作流程进行日常工作。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整个康复业务工作流程的实施均能够在康复文书记录中体现。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有关于康复评价响应时间的具体制度规定。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职能部门对康复业务工作流程的实施情况进行监督、评价。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康复业务工作流程执行情况持续改进，评价会响应时间符合要求。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120.5开展康复专科或亚专科门诊及分诊服务，对门诊疑难患者有制度与流程支持开展多个康复专科综合门诊。</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开设康复专科或亚专科门诊服务，有分诊制度。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对疑难患者有相关制度与流程支持开展多个康复专科综合门诊服务。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有保障多个康复专科综合门诊出诊医师数量和质量的措施。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有多个康复专科综合门诊成效分析评价，持续改进综合门诊质量。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120.6建立康复评价会制度，对康复评价会参会人员、会议响应时间及召开流程等进行规范化管理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医院有建立康复评价会诊制度，并执行。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有独立的康复评价核心小组，组长应是评价会核心成员。对每位患者进行独立的康复评价，必要时邀请患者或其家属参加。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评价会由康复小组组长主持，由主管医生、治疗师和护士组成。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有召开评价会的记录。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职能部门对康复评价会的实施情况进行监督、评价，对发现的问题做出整改并贯彻落实。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康复评价会执行情况持续改进。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120.6.7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制定康复结局评估方案并实施。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120.7探索康复治疗模式，开展相关的康复治疗技术，持续开发新的适宜康复治疗技术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120.7.1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根据《康复医院基本标准（2012年版）》的要求，开展物理治疗（运动治疗、理疗、水疗）、作业治疗、言语治疗、传统康复治疗、心理康复、康复工程等康复治疗技术。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120.7.2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因地制宜探索适合本院工作实际的康复治疗模式。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120.7.3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每年度根据现有条件及病患需求，结合国内外康复治疗领域进展，开展适宜的新康复治疗技术。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120.7.4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对于康复治疗新技术的开展有相关审批流程。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120.7.5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患者治疗疗效及满意度持续提升。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120.8建立康复治疗业务管理制度，提升患者康复治疗满意度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120.8.1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建立康复治疗相关的各项制度，并执行。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120.8.2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合理安排治疗时间，保证患者得到及时治疗。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120.8.3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科室对各项康复治疗业务管理制度的执行情况有详细记录、问题分析和改进措施。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120.8.4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对康复治疗安排时间情况进行监管和分析。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120.8.5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定期进行监督检查、信息反馈，患者满意度持续提升。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120.9每一位住院患者均有适宜的康复诊疗计划，由高级职称医师负责评价与核准，全程有记录</w:t>
            </w:r>
            <w:r>
              <w:rPr>
                <w:rFonts w:hint="eastAsia" w:ascii="仿宋_GB2312" w:hAnsi="宋体" w:eastAsia="仿宋_GB2312" w:cs="仿宋_GB2312"/>
                <w:sz w:val="24"/>
                <w:szCs w:val="24"/>
                <w:lang w:eastAsia="zh-CN"/>
              </w:rPr>
              <w:br w:type="textWrapping"/>
            </w:r>
            <w:r>
              <w:rPr>
                <w:rFonts w:hint="eastAsia" w:ascii="仿宋_GB2312" w:hAnsi="宋体" w:eastAsia="仿宋_GB2312" w:cs="仿宋_GB2312"/>
                <w:sz w:val="24"/>
                <w:szCs w:val="24"/>
                <w:lang w:eastAsia="zh-CN"/>
              </w:rPr>
              <w:t>。</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有适用的康复治疗指南及评价标准。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患者的病情恢复情况评估进行康复治疗的必要性，制订适宜的诊疗与康复治疗方案，并及时与患者及近亲属（监护人）沟通，说明康复治疗计划/方案，包括各种程序的内容与训练目的、方向性、期间、预后预测、禁忌等；康复治疗计划由康复医师、治疗师、护士、患者及家属共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每一例患者在治疗前、治疗中、治疗后有定期康复治疗与训练效果评定、无效中止康复训练的标准与程序，相关人员知晓并落实。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有康复相关医疗文书书写规范要求和质控标准，康复治疗全过程病人状况在病历中有记录。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根据检查结果分析判断，适时调整诊疗方案，并分析调整原因和背景。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上述诊疗活动由高级职称医师负责评价与核准签字，并在病历中体现。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康复治疗小组对患者进行初、中、末期评价，评价结果记录于病历中。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有保证诊疗计划适宜性的多种措施，并落实。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120.9.9</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有院科两级的质量监督管理制度，有职能部门对康复治疗履行监管责任、有总结和评价，并指导督促落实，对存在问题及时反馈。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120.9.10</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监管检查有成效，上级医师对诊疗方案核准率100%。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120.10开展院内康复专科医师和治疗师培训工作，做到制度、师资与经费落实。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120.10.1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有院内康复专科医师和治疗师培训计划、具体实施方案，包括：师资、经费、培训空间等支持细则。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120.10.2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课程设计、培训内容、考核符合康复专科医师和治疗师培训要求。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120.10.3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严格执行康复专科医师和治疗师培训计划，定期评估总结。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120.10.4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主管部门对培训工作定期总结，并征求意见。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120.10.5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根据定期总结和征求意见，持续改进康复专科医师和治疗师培训。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（一百二十一）确立康复治疗安全核查制度，防止康复患者、康复部位及康复措施发生错误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121.1有康复治疗前评估工作的相关管理制度。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有康复治疗前评估工作的相关管理制度。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遵医嘱，康复治疗患者在相应康复评定和风险评估后方可进行康复治疗。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职能部门对上述工作进行督导、检查、总结、反馈，有改进措施。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康复治疗前准备制度落实，执行率100%。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121.2有康复治疗安全核查制度与工作流程。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有康复治疗安全核查制度与流程。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严格实施“安全核查”，并正确记录。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职能部门对上述工作进行督导、检查、总结、反馈，有改进措施。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121.3对患者进行风险评估，主动向高危患者告知跌倒、坠床风险，采取有效措施防止意外事件的发生。</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有防范患者跌倒、坠床的相关制度，并体现多部门协作。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对住院患者跌倒、坠床风险评估及根据病情、用药变化再评估，并在病历中记录。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主动告知患者跌倒、坠床风险及防范措施并有记录。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医院环境有防止跌倒安全措施，如走廊扶手、卫生间、地面防滑及轮椅无障碍通道。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采取适当措施防止跌倒、坠床等意外，充分设置警示标识、语言提醒、完善的求助呼叫系统、床挡等。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相关人员知晓患者发生坠床或跌倒的处置及报告程序。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有坠床、跌倒的质量监控指标数据收集和分析。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121.3.8</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高危患者入院时跌倒、坠床的风险评估率100%。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121.4有康复医学质量与安全控制指标，科室每月分析指标完成情况。</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有康复医学质量与安全控制指标。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科室每月对指标完成情况进行总结分析，对负性指标有针对性的改进措施。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全科人员知晓科室指标完成情况，并按整改措施开展相关工作。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121.5有康复过程意外紧急处置预案，相关人员知晓并定期演练。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有康复过程意外紧急处置预案与流程。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有落实预防并发症、预防二次残疾的具体措施。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开展康复治疗训练人员相关理论知识、技能操作与意外紧急处理方法的培训，并定期演练。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121.5.6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十二、中医诊疗质量保障与持续改进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（一百二十二）中医诊疗科室设置应当符合《综合医院中医临床科室基本标准》、《医疗机构中药煎药室管理规范》等文件的要求，所设置的中药房与中药煎药室应当符合相关法律法规的要求。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122.1 中医科设置符合《综合医院中医临床科室基本标准》等行业主管部门法规基本要求。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中医科为医院的一级临床科室，开设中医门诊。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科主任具有中医类别副高及以上职称人员担任；中医师具备中医类别任职资格。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科室护士接受过中医药知识技能岗位培训。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主管部门有督导检查、分析、反馈。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122.2根据医院规模和临床需要设置中药房，布局置中药房布局、人员等要求符</w:t>
            </w:r>
            <w:r>
              <w:rPr>
                <w:rFonts w:hint="eastAsia" w:ascii="仿宋_GB2312" w:hAnsi="宋体" w:eastAsia="仿宋_GB2312" w:cs="仿宋_GB2312"/>
                <w:sz w:val="24"/>
                <w:szCs w:val="24"/>
                <w:lang w:eastAsia="zh-CN"/>
              </w:rPr>
              <w:br w:type="textWrapping"/>
            </w:r>
            <w:r>
              <w:rPr>
                <w:rFonts w:hint="eastAsia" w:ascii="仿宋_GB2312" w:hAnsi="宋体" w:eastAsia="仿宋_GB2312" w:cs="仿宋_GB2312"/>
                <w:sz w:val="24"/>
                <w:szCs w:val="24"/>
                <w:lang w:eastAsia="zh-CN"/>
              </w:rPr>
              <w:t>合《医院中药房基本标准》，有质量管理制度并执行。</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根据医院规模设置规范的中药房，中药房布局符合院感、消防等各项要求。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有中药房各项管理规章制度及中药饮片配置操作规范和流程，有明确的中药房人员设置资质要求。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有中药质量管理的相关制度，对采购、验收、贮存、调剂、煎煮等环节实行质量控制。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相关人员知晓本岗位的履职要求。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科室有定期自查、总结分析各项工作开展情况，对存在问题有整改。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主管部门有定期监管和分析反馈，并检查科室整改落实情况。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1853" w:type="dxa"/>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122.3根据临床需要，设置的中药煎药室符合《医疗机构中药煎药室管理规范》等要求，有各项管理制度并执行。中药采用“代煎代送”的，建立明确的质量管理措施并落实监管。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临床需要，设置规范的中药煎药室，归属中医科或指定科室管理。中药采用“代煎代送”的，需有医院法人签字或法人授权签字并盖有医院公章的合作协议，负责科室应存有协议复印件，建立明确的“代煎代送 ”质量管理措施，定期监督，记录完整。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（一百二十三）建立中医诊疗规范，提供具有中医特色的康复和健康指导等服务。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123.1根据国家中医药相关指南，建立体现中医特色的诊疗规范，为患者提供适宜的诊疗服务。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科室有已开展的中医医疗技术目录，根据国家中医药相关指南，建立体现中医特色的诊疗规范和技术操作流程，并及时更新。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有依据患者病症采取中西医结合治疗的规范和措施。开展中医医疗技术操作的，需按照《中医医疗技术相关性感染预防与控制指南（试行）》要求，严格落实感控管理各项要求。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有对疑难重症患者病情评估、科间会诊、转诊的相关制度与流程。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相关医务人员熟知相关制度、流程和诊疗规范，并依规范为患者制定适宜的诊疗方案。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科室对规范落实情况有自查、分析和整改。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主管部门有监管、分析反馈、并对科室落实整改情况有检查。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有数据或案例体现改进效果并形成新制度、规范、流程、举措等。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123.2提供具有中医特色的康复和健康指导等服务。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提供具有中医特色的康复和健康指导等服务。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加强中医康复服务供给，大力推广中医药技术，发展适用于基层、社区的小型化、专业化的中医康复设备和康复适宜技术，扩大康复教育、辅具指导、居家康复训练指导的覆盖面。针对心脑血管病、糖尿病等慢病和伤残等，梳理优化相关中医康复技术和方案，提供具有中医特色的康复和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建立中医药康复服务质量控制体系，建立完善质量管理制度，将中医药康复服务纳入质量控制范围。在医院信息化建设中完善中医药康复服务信息，探索开展中医康复结局评价与管理。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微软雅黑" w:hAnsi="微软雅黑" w:eastAsia="微软雅黑" w:cs="微软雅黑"/>
                <w:b/>
                <w:bCs/>
                <w:sz w:val="28"/>
                <w:szCs w:val="28"/>
                <w:lang w:eastAsia="zh-CN"/>
              </w:rPr>
              <w:t>第三章  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一、管理职责与决策执行机制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（一百二十四）制定医院章程，建立医院内部决策执行机制。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124.1制定医院章程，建立医院内部决策执行机制。加强和改进医院领导人员管理。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制定医院章程，规范内部管理结构和权力运行规则，提高医院运行效率。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医院以章程为依据，明确医院议事规则和办事程序。医院内部治理体系结构清晰，职责明确。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医院领导人员严格按照医院决策执行机制管理。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（一百二十五）公立医院加强党的建设，明确党委职责，充分发挥医院党委的领导作用，实施党委领导下的院长负责制，健全医院党委与行政领导班子议事决策制度。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125.1公立医院加强党的建设，明确党委职责，充分发挥医院党委的领导作用，实施党委领导下的院长负责制，健全医院党委与行政领导班子议事决策制度。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医院把加强党的建设列入医院章程。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医院党委发挥把方向、管大局、作决策、促改革、保落实的领导作用。主要职责在医院章程中表述清晰。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建立党委与行政领导班子议事决策制度与程序，并严格落实。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一百二十六）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126.1组织机构设置合理，各部门和科室命名规范。各级管理人员按分工履行职责。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有组织架构图，部门职能划分明确，医院运行状况与组织架构相符。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根据法律法规、规章规范以及相关标准，结合实际，制定各项规章制度和岗位职责，并及时修订完善。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医院各部门及科室命名规范，提供的诊疗项目与执业许可证上核准的诊疗科目全部相符。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各级管理人员知晓并履行本岗位职责。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126.2建立沟通协调机制，履行协调职能，提高工作效率。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建立各部门之间、部门与临床科室之间的沟通协调机制，指定牵头协调部门。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定期召开多部门工作协调会（如职能部门-临床-护理-医技-后勤等），并有会议记录。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每次会议有明确议题和相关牵头部门，相关工作有落实。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（一百二十七）医院建立全员学习机制，强化学习文化。定期对员工进行政策法规、管理能力、专业技能和质量安全培训与教育。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127.1医院建立全员学习机制，强化学习文化。定期对员工进行政策法规、管理能力、专业技能和质量安全培训与教育。</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建立全员学习机制，开展全员培训教育，提高员工履职能力。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医院定期对员工进行政策法规、管理能力、专业技能和质量安全培训与教育。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127.1.3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每年至少开展2次法律法规全员培训。员工对岗位相关的常用法律法规知晓率≥80%。管理人员均接受管理相关培训，培训时数每人每年≥12个学时。新员工经卫生法律法规培训，考核合格后方可上岗。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（一百二十八）加强院务公开管理。按照国家有关规定向社会及员工公开信息。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128.1加强院务公开管理。按照国家有关规定向社会及员工公开信息。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制定院务公开工作制度与流程，有公开内容、形式、程序和时限，有指定部门负责，有明确的工作职责。“三重一大”事项依医院院务公开的要求予以公示。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鼓励职工监督院务公开工作，职工有多种途径提供意见与建议，保障职工民主权利。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院务公开形式多样，方便社会与员工获取相关公开信息。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院务公开信息制度得到落实，员工知晓率高。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（一百二十九）对外委托服务项目质量与安全实施监督管理。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129.1对对外委托服务项目质量与安全实施监督管理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制定有合符法规及内部风险控制的项目遴选、管理、退出及项目评估和监督考核机制。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对外委托项目合同规范，服务人员有持续专业培训记录，具有上岗资格，被委托方与院方联动有效及时。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服务项目招投标符合国家规范，纪检（监察）或审计部门参与监督。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主管部门有日常评估及审核，有年度质量安全评估报告。及时反馈到责任部门和主管专人，有对违约情况按规定处理。对关管理人员进行培训。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有院领导、主管职能部门与专人负责对外委托服务项目管理，有对外委托服务项目年度审计报告，并反馈主管部门负责人整改落实。并检查科室整改落实情况。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129.1.7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持续改进有成效，有监管外包业务质量有成效的典型案例，并形成新的监管优化流程和制度。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二、人力资源管理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（一百三十）建立健全以聘用制度和岗位管理制度为主要内容的人力资源管理制度。医院人力资源配备应当满足医院功能任务和质量安全管理工作需要。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130.1设置人力资源管理部门，人力资源管理制度健全。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设置专职人力资源管理部门，职责明确。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制定人力资源管理制度与程序，并能够根据有关部门要求及时更新，与医院发展需求同步实施。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人力资源管理制度及规定，有多种渠道公布，方便职工查询。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130.2医院有人力资源发展规划、人才梯队建设计划、人力资源配置方案和人员紧急替代机制，医院人力资源配备应当满足医院功能任务和质量安全管理工作需要。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制定人力资源发展规划、人才梯队建设计划、人力资源配置方案并得到落实。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有院科两级人员紧急替代制度、程序和方案并得到落实。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医院各类卫生技术人员配置符合国家有关规定，并满足医院功能任务和质量安全管理工作需要。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130.2.5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（一百三十一）有公平透明的卫生专业技术人员资质的认定、聘用、考核、评价管理体系，建立专业技术人员档案。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131.1卫生专业技术人员资质的认定与聘用符合要求、公开透明。</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制定卫生技术人员资质认定、聘用、考核、评价管理的相关制度和流程；建立技术考评档案。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根据岗位职责、技术能力等定期实施聘用、授权和再授权管理，尤其对高风险、特殊岗位实施人员授权和再授权管理。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相关人员知晓上述规范和流程并落实。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131.2建立外来（国内外、境内外等）专业人员技术档案、规范管理。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按照国家法律法规和卫生行政部门现行规定，制定外来技术人员资质管理的规定、规范与程序并落实。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外来技术人员在本院实施的诊疗活动有记录并可追溯。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外来技术人员直接从事患者临床各种有创诊疗时，事先取得患者书面知情同意。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（一百三十二）贯彻落实《公立医院领导人员管理暂行办法》，加强和改进公立医院领导人员管理，推行公立医院行政领导人员职业化培训。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132.1贯彻落实《公立医院领导人员管理暂行办法》，加强公立医院行政领导人员职业化培训。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132.1.1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根据《公立医院领导人员管理暂行办法》配合上级主管部门制定公立医院领导人员职业化培训制度、交流制度、收入分配办法等，建立容错纠错机制并得到落实。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领导人员主要精力和时间用于医院管理工作或专职从事医院管理。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领导人员在履行医院管理职责中表现突出、做出显著成绩和贡献的，配合上级主管部门按照有关规定给予表彰奖励。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三）有卫生专业技术人员岗前培训、康复治疗师规范化培训、继续医学教育、梯队建设和政府指令性培训任务相关管理制度并组织实施。把员工能力建设作为人力资源管理的重要组成部分，推动员工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133.1有卫生专业技术人员岗前培训、继续医学教育相关管理制度并组织实施。</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制定岗前培训、继续医学教育管理制度、规划及实施方案并落实，有培训条件及专项经费支持。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有完善的管理档案，将继续医学教育与卫生技术人员聘任、晋升挂钩。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卫生专业技术人员知晓并严格执行岗前培训、继续医学教育管理制度。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133.2加强学科建设和人才培养，有学科带头人选拔与激励机制。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制定重点学科（或专科）建设发展规划及学科带头人选拔与激励机制。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有人才培养计划，有重点学科（或专科）培育与支持措施，包括经费投入等，人才梯队合理。人才培养工作纳入院长年度考核的重要目标。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相关部门对学科建设和人才培养落实专项管理。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（一百三十四）贯彻与执行《中华人民共和国劳动法》等国家法律、法规的要求，建立与完善职业安全防护相关措施、应急预案、处理与改进的制度，上岗前有职业安全防护教育。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134.1贯彻与执行《中华人民共和国劳动法》等国家法律、法规的要求，建立与完善职业安全防护相关措施、应急预案、处理与改进的制度，上岗前有职业安全防护教育。</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制定职业安全防护相关措施、应急预案、处理与改进的制度。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按照国家的法律法规和相关标准对危险性程度制定分级防护的规定，配备防护设施设备和用品。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有职业安全防护的培训并建立员工的个人健康档案。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相关人员知晓职业暴露的应急预案、处置流程，并落实。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（一百三十五）关注员工身体和心理健康，保障员工合法健康权益。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135.1关注员工身体和心理健康，保障员工合法健康权益。</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制定保障员工身体和心理健康的制度并落实。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135.1.2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建立和完善职工健康状况数据库，为不同健康状况职工提供个性化饮食和运动指导；提供心理健康咨询服务；落实公休假制度。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医院配备相应舒缓员工压力的设施设备及场所。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（一百三十六）医院应当将科室医疗质量管理情况作为科室负责人综合目标考核以及聘任、晋升、评先评优的重要指标，将科室和医务人员医疗质量管理情况作为医师定期考核、晋升的重要依据。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136.1医院应当将科室医疗质量管理情况作为科室负责人综合目标考核以及聘任、晋升、评先评优的重要指标，将科室和医务人员医疗质量管理情况作为医师定期考核、晋升的重要依据。</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制定将科室医疗质量管理情况作为科室负责人综合目标考核以及聘任、晋升、评先评优的重要指标的制度，并有实际案例。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制定医务人员医疗质量管理情况作为医师定期考核、晋升以及绩效考核的制度，并有实际案例。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科室负责人及医务人员知晓医疗质量管理情况作为相关考核指标。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三、财务和价格管理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七）执行《中华人民共和国会计法》《政府会计制度》《医院财务制度》等相关法律法规，财务机构设置合理、财务管理制度健全，人员配置合理，岗位职责明确，会计核算规范，三级公立医院实行总会计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137.1执行《中华人民共和国会计法》《政府会计制度》《医院财务制度》等相关法律法规，财务机构设置合理、财务管理制度健全，人员配置合理，岗位职责明确，会计核算规范。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根据相关法律法规制订医院财务管理制度，并根据政策法规变动情况及时更新。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财务人员配置合理，职责明确。财务部门负责人有高级会计师专业技术职务资格或者有会计师专业技术职务资格并从事财务管理工作五年以上经历。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年度财务报告按规定由注册会计师审计，反馈管理部门。开展财务管理制度专业培训。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财务监督实行事前、事中、事后监督相结合，日常监督与专项检查相结合，并接受上级有关部门监督。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有财务管理整改案例体现改进效果，或形成新制度、规范、流程、举措。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137.2医院实行总会计师制。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按照《关于加快推进三级公立医院建立总会计师制度的意见》（国卫财务发[2017]31号）设置总会计师。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有总会计师制度及岗位资质要求，明确岗位职责和权限。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总会计师知晓相关要求并严格履职。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医院对总会计师履职有保障机制与评估。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总会计师对医院财务管理与监督在医院重要经济事项分析决策中发挥专业优势，并形成新的优化流程和新的制度。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（一百三十八）按照《中华人民共和国预算法》和相关预算管理规定编制和执行预算，加强预算管理、监督和绩效考评。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138.1按照《中华人民共和国预算法》和相关预算管理规定编制和执行预算，加强预算管理、监督和绩效考评。</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预算组织体系和管理制度健全，有预算管理委员会、预算管理办公室、预算归口管理部门和预算科室组成的全面预算管理组织，医院所有部门和科室均纳入预算管理体系，预算责任落实到位。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医院所有收支全部纳入预算管理，实行全面预算管理。每年对医院整体支出进行绩效评价，实行评价结果全公开。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开展预算管理培训并保证有关人员知晓并执行。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主管部门及预算管理委员会定期对年度预算执行情况进行检查、分析、反馈，将预算考核结果、成本控制目标纳入内部业务综合考核的依据，并检查科室整改落实情况。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有全面预算管理案例体现改进效果，或形成新制度、规范、流程、举措。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（一百三十九）实行全成本核算管理，控制运行成本和医院债务规模，降低财务风险，优化投入产出比，提高医疗资源利用效率。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139.1实行全成本核算管理，控制运行成本和医院债务规模，降低财务风险，优化投入产出比，提高医疗资源利用效率。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建立成本核算管理体系和健全成本定额管理、费用审核等管理制度，成立成本核算工作领导小组和成本核算部门，工作职责明确。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按时完成成本核算报表，开展成本核算结果分析并反馈对口部门。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在全院推行全成本核算管理培训。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开展科室成本核算、诊次成本核算、床日成本核算、医疗服务项目成本核算、按病种分值付费（DIP）或按疾病诊断相关分组（DRG）成本核算。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主管部门根据成本分析报告，定期检查、分析、反馈，并检查科室整改落实情况。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139.1.6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成本费用得到控制，成本效益提升。有案例体现改进效果，或形成新制度、规范、流程、举措。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落实《医疗机构内部价格行为管理规定》，全面落实医疗服务价格公示制度，提高收费透明度；完善医药收费复核制度；确保医药价格管理系统信息准确；规范新增医疗服务价格项目内部审核流程和申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140.1落实《医疗机构内部价格行为管理规定》，全面落实医疗服务价格公示制度，提高收费透明度；完善医药收费复核制度；确保医药价格管理系统信息准确；规范新增医疗服务价格项目内部审核流程和申报程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落实《医疗机构内部价格行为管理规定》，设置价格管理部门，成立医疗服务价格管理委员会；健全完善医院医药收费及收费复核等管理制度，收费员和财会人员熟悉并严格执行。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有医药价格信息管理系统并落实国家有关规定调整价格、保障价格信息真实、准确、全面、医疗服务价格公示制度得到落实。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有新增医疗服务价格项目管理制度，有内部申请、审核、复核、申报流程，程序规范，相关人员知晓并落实。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专职物价员及兼职物价员对国家物价政策及实施细则知晓度高有培训。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价格管理主管部门定期督导、分析、反馈医疗服务价格公示、收费透明度、收费复核等状况，并检查科室整改落实情况。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140.1.7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有价格管理案例体现改进效果，或形成新制度、规范、流程、举措。无重大违规收费或恶意违规收费。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（一百四十一）执行《中华人民共和国政府采购法》《中华人民共和国招标投标法》及政府采购相关规定，建立药品、耗材、设备、基建、货物、服务等采购制度和流程，加强集中采购管理。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141.1执行《中华人民共和国政府采购法》《中华人民共和国招标投标法》及政府采购相关规定，建立药品、耗材、设备、基建、货物、服务等采购制度和流程，加强集中采购管理。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执行《中华人民共和国政府采购法》《中华人民共和国招标投标法》，有采购管理和监督部门，实行采购业务的决策、实施、监督相分离。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按照规定建立药品、耗材、设备、基建、货物、服务等采购制度和流程并落实。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无违规采购。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主管部门和监管部门对招标工作的执行情况有检查、分析、反馈，并检查科室整改落实情况。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有采购工作案例体现改进效果，或形成新制度、规范、流程、举措。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（一百四十二）医院实行同工同酬、多劳多得、优绩优酬的分配制度。以综合绩效考核为依据，突出服务质量、数量，逐步扩大分配，提高员工待遇。个人分配不得与业务收入直接挂钩。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142.1医院实行同工同酬、多劳多得、优绩优酬的分配制度。以综合绩效考核为依据，突出服务质量、数量，逐步扩大分配，提高员工待遇。个人分配不得与业务收入直接挂钩。</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有实行同工同酬、绩效工资管理的制度，个人收入不得与业务收入直接挂钩。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综合绩效考核体现医德医风、技术能力、服务、质量和数量；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绩效考核与分配方案报职工代表大会并经党委会讨论通过。按规定向全院公开。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有综合绩效管理案例体现改进效果，或形成新方案、举措。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四、信息管理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（一百四十三）建立以院长为核心的医院信息化建设领导小组，有负责信息管理的专职机构，建立各部门间的组织协调机制，制订信息化发展规划，有与信息化建设配套的相关管理制度。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143.1建立医院信息化建设领导小组和专职管理机构，建立各部门间组织协调机制，制定信息化发展规划，有信息化建设相关管理制度。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有以院领导为主任的医院信息化建设领导小组和院级信息管理委员会，有负责信息管理的专职部门，有明确的职责；信息管理委员会每年至少召开多部门的信息化建设专题会议2次，并有相关记录。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有医院信息化建设中长期规划和年度工作计划，包括实施方法、实施步骤、信息化建设及运行维护的年度预算并落实。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有保障信息系统建设、管理的规章制度，建立信息使用与信息管理部门沟通协调机制。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各职能部门参与互联网与智慧医疗应用，有对网络运行情况、引入新技术产品、提高临床管理、服务效率，患者体验、就诊满意度等方面定期自查、分析、整改。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143.2信息系统专职技术人员配置合理并有专业培训。</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制定信息系统专职技术人员教育培训、授权审批、岗位交接等考核制度。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岗位设置合理，岗位职责、技术等级明确，人员档案资料完整。每百张床位信息化专职人员配比≥1:1。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科室相关人员知晓岗位职责并落实自查、分析、整改。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四）医院信息系统能够系统、连续、准确地采集、存储、传输、处理相关的信息，为医院管理、临床医疗和服务提供包括决策支持类的信息技术支撑，并根据国家相关规定，实现信息互联互通、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144.1医院信息系统为医院管理、临床医疗和服务提供包括决策支持类的信息技术支撑。</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建立医院管理信息系统（HIS）和医院资源管理信息系统（HRP）以及相关子系统（如办公信息管理、患者咨询服务、自助服务等），为患者提供便捷结算服务，为医院管理提供信息技术支撑。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信息系统符合《基于电子病历的医院信息平台建设技术解决方案》有关要求，符合国家医疗管理相关管理规范和技术规范。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有临床信息系统（CIS），有康复管理系统（如康复治疗排班系统、康复评价系统、康复治疗师工作站等），建立基于电子病历（EMR）的医院信息平台。实现全院信息共享，具备医疗决策支持功能。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医院信息系统满足临床诊疗需求，如重点疾病管理等。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科室对利用“互联网+医疗健康”新模式提升医疗服务连续性有自查、分析、整改。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144.2根据国家相关规定，实现信息互联互通、交互共享。</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按国家相关规定，有实现信息互联互通、交互共享的设备、技术力量和实施方案并贯彻执行。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有信息互联互通、交互共享的管理制度，相关人员知晓并落实。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医院信息系统具备信息集成与交互共享功能，实现业务系统与运营系统融合。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强化公共卫生责任，围绕新发传染病预防控制、突发公共卫生事件应急处置等内容，按要求向属地卫生健康行政部门报告情况，与公共卫生专业机构共享相关数据。在医院开发或升级信息系统过程中，提供共享对接公共卫生相关信息的功能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科室对互联互通实际应用场景有定期自查、总结分析、整改。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144.3医疗质量与安全管理信息相关的数据库，为质量与安全管理决策和持续改进提供依据。</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有医疗质量与安全管理信息相关数据库，并建立提取数据的管理制度。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加强医院运营管理信息集成平台标准化建设，能为职能部门与临床科室提供质量与安全管理的有关数据，建立运营管理系统和数据中心，推进资源全流程管理。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主管部门负责收集和处理相关信息，数据实行集中归口管理，管理部门能够调阅使用有关数据。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建立支持医院管理和运行的数据库，包括：医院基本监测、运行基本指标监测、药品和耗材管理、血液和血制品管理、质量管理、医技科室、医疗安全管理等。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科室有利用信息数据库为质量与安全管理做科室决策。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144.3.7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五）落实《中华人共和国网络安全法》，实施国家信息安全等级保护制度，实行信息系统按等级保护分级管理，保障网络信息安全，保护患者隐私。推动系统运行维护的规范化管理，落实突发事件响应机制，保证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145.1加强信息系统的安全保障和患者隐私保护。</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按照国家信息安全等级保护规定和国家标准，建立信息安全保护制度并落实。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信息系统运行稳定、安全，具有防灾备份系统，实行网络运行监控，有防病毒、防入侵措施、应急处理预案。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实行信息系统操作权限分级管理，信息安全采用身份认证、权限控制（包括数据库和运用系统）、患者数据使用控制、保障网络信息安全和保护患者隐私。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临床和医技科室对执行信息安全和健康医疗数据保密规定，严格管理患者信息、诊疗数据、保护患者隐私、保障信息安全有定期自查、总结分析、整改。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145.2加强信息系统运行维护，有突发事件应急响应制度并落实。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建立信息网络运行、设备管理和维护、技术文档管理制度并落实。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有信息值班、交接班制度，有完整的日常运维记录和值班记录，及时处置安全隐患。制定信息系统变更、发布、配置管理制度及相关记录。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有信息系统运行事件（如系统瘫痪）应急预案并组织演练，保障运行。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145.2.6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（一百四十六）根据《中华人民共和国统计法》与卫生健康行政部门规定，完成医院基本运行状况、医疗质量安全、医疗技术、诊疗信息和临床用药监测信息等相关数据报送工作，确保数据真实可靠、可追溯。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146.1根据《中华人民共和国统计法》与卫生健康行政部门规定，完成医院基本运行状况、医疗质量安全、医疗技术、诊疗信息和临床用药监测信息等相关数据报送工作，确保数据真实可靠、可追溯。</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制定向卫生行政部门报送的数据与其他信息的制度与流程，按规定完成相关信息报送工作。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有保证信息真实、可靠、完整的具体核查措施，实行信息报告问责制。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相关人员熟悉信息数据报送规定及流程。无统计数据上报信息错误。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五、医学装备管理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（一百四十七）根据国家法律法规及相关规定，建立和完善医学装备管理组织架构，人员配置合理，制定常规与大型医学装备配置方案。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147.1建立和完善医学装备管理体系、医学装备管理制度和岗位职责。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建立医学装备管理体系，成立医学装备/医疗器械临床使用管理委员会，对医院医学装备发展规划、年度装备计划、采购活动等重大事项进行评估、论证和咨询。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医学装备管理部门根据医院功能和任务需求，配备相适应的医学工程及其他专业技术人员。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制定医院医学装备管理制度、工作流程和岗位职责并进行培训、落实。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主管部门对医学装备/医疗器械使用工作计划进展和人员管理有检查、分析、反馈的监管和考核机制，并检查科室整改落实情况。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有对医学装备制度管理案例体现改进效果，或形成新制度、规范、流程、举措。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147.2根据国家法律、法规及卫生行政部门规章、管理办法、标准要求，制定常规与大型医学装备配置方案。</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根据国家法律、法规及卫生行政部门规章、管理办法、标准要求，制定常规与大型医学装备配置方案。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有医学装备论证、决策、购置、验收、使用、保养、维修、应用分析和更新、处置等相关制度与工作流程，并执行。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医学装备使用部门设专职或兼职管理人员。医学装备使用人员有培训和考核，合格后方可上岗操作。进行培训考核。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147.2.6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有对医学装备配置管理案例体现改进效果，或形成新制度、规范、流程、举措。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（一百四十八）根据医院功能定位和发展规划，有大型医用设备使用、功能开发、社会效益、成本效益等分析评价。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148.1有大型医用设备使用、功能开发、社会效益、成本效益等分析评价。</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有医学装备购置论证相关制度与决策程序，单价在50万元及以上的医学装备有可行性论证。纳入国家管理目录的设备须持有配置许可证。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有根据全国卫生系统医疗器械仪器设备分类与代码，建立医学装备分类、分户电子账目，实行信息化管理。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医学装备档案管理有制度与档案资料，落实档案、账目、账物相符、准确等管理规定。单价在5万元及以上的医学装备按照集中统一管理的原则。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有医学装备使用评价相关制度。有大型医用设备使用、功能开发、社会效益、成本效益等分析评价。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医学装备管理部门对制度建设、档案资料、账目、设备管理和使用情况等有自查、总结分析、整改。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主管部门对医学装备配置、审计结果、分析报告有监管，提出改进建议，及时报送医疗器械使用管理委员会，并检查科室整改落实情况。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148.1.7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评价分析报告能得到有对大型医学装备使用、功能开发、成本效益案例体现改进效果，或形成新制度、规范、流程、举措。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（一百四十九）加强医学装备安全管理，有明确的医疗器械临床使用安全控制与风险管理工作制度与流程。建立医疗器械临床使用安全事件监测与报告机制。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149.1加强医学装备安全管理，对医疗器械临床使用安全控制与风险管理有明确的工作制度与流程。建立医疗器械临床使用安全事件监测与报告机制。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有医学装备安全管理、医疗器械临床使用安全控制与风险管理相关制度与流程；有对不良反应多且安全隐患突出的器械及时依法依规清退出供应目录的制度。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有医学装备质量保障要求，如：操作者自我检查，医学装备计（剂）量准确、安全防护、性能指标符合要求。对暂停或终止使用的高风险器械有记录。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有生命支持类、急救类、植入类、辐射类、灭菌类和大型医用设备等医学装备临床使用安全监测与报告制度。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临床及医技科室使用部门与医学装备管理部门人员知晓上述要求。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使用部门和医学装备管理部门对医学装备、医疗器械安全管理有自查，有风险程度分析和使用情况的分析。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有医学装备安全管理案例体现改进效果，或形成新制度、规范、流程、举措。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149.2加强特种设备、计量设备和特殊医学装备安全管理。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有各类特殊设备管理制度，特殊医学装备具有生产、安装合格证明以及根据规定必备的许可证明。经检测的计量器具有检测合格标志。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特种设备和特殊医学装备操作人员经过培训，具有上岗资格。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医学装备管理部门对特殊装备定期检查、维护、校准和监测，有记录。落实培训制度。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使用部门和医学装备管理部门对特种设备、计量设备和特殊医学装备有自查，有风险程度分析和使用情况的分析。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特种设备和特殊医学装备安全措施案例体现改进效果，或形成新制度、规范、流程、举措。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149.3建立医疗器械临床使用安全事件监测与报告机制。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有医疗器械临床使用安全监测和安全事件报告相关制度与流程，有鼓励医疗器械临床使用不良事件报告的措施。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有医疗器械使用不良事件报告信息平台，指定管理部门，定期汇总、分析；有根据医疗器械使用不良事件风险程度，发布风险预警，暂停或终止高风险器械使用的规定。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根据国家要求及时向有关部门报告医疗器械临床使用安全事件，有完整的信息资料。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相关人员知晓不良事件报告制度和流程，并落实。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科室对医疗器械使用不良事件报告情况有自查、总结、整改。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主管部门有监管、分析、反馈。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149.3.7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有数据对医疗器械临床使用不良事件报告进行追踪和分析。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（一百五十）加强医疗仪器设备管理和使用人员的培训，为医疗器械临床合理使用提供技术支持与咨询服务。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150.1建立医疗仪器设备使用人员操作培训和考核制度，主管部门加强监管，提供咨询服务与技术指导。</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有保障常用仪器、设备和抢救物品使用者培训的制度、培训计划及具体课程安排；培训内容涵盖使用中可能出现的意外情况处理预案及措施。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对设备操作人员的培训情况有考核，并有记录。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医疗装备部门为临床使用的医疗器械提供技术支持、业务指导、安全保障与咨询服务；医疗设备操作手册随设备存放，供方便查阅。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科室对培训情况和效果有自查、分析，对存在问题有整改。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（一百五十一）建立保障医学装备处于完好状态的制度与规范，对用于急救、生命支持系统仪器装备要始终保持在待用状态，建立全院应急调配机制。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151.1用于急救、生命支持系统仪器装备要始终保持在待用状态。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有保障医学装备管理相关制度和规范。有全院装备配置和使用情况清单有急救类、生命支持类医学装备应急预案，保障紧急救援工作需要。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对医学装备保养、维修、校验等实施统一管理，并指导操作人员履行日常保养和维护，各科室急救类、生命支持类装备时刻保持待用状态。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主管部门对急救类、生命支持类装备完好情况和使用情况进行实时监管。根据医学装备使用监管分析结果提出整改措施并落实。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急救类、生命支持类装备完好率100%。有管理案例体现改进效果，或形成新制度、规范、流程、举措。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151.2建立全院保障医学装备应急调配机制。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建立与规模、功能相匹配的生命支持医疗器械和相关重要医疗器械故障的应急管理预案，装备故障时有紧急替代流程。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优先保障急救类、生命支持类装备的应急调配。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医务人员知晓医疗装备应急管理与替代程序。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科室对医学装备应急调配有演练和监管。对相关工作有自查、分析，对存在问题有整改。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主管部门对医学装备应急调配有演练和监管，并检查科室整改落实情况。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151.2.6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全院医学装备应急调配有保障。有管理案例体现改进效果，或形成新制度、规范、流程、举措。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（一百五十二）依据国家相关规定，加强对医用耗材的溯源、不良事件监测与报告的管理。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152.1依据国家相关规定，加强高值医用耗材、一次性使用的无菌器械和其他医用耗材的管理。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依据国家相关规定制定高值医用耗材、一次性使用无菌器械及其他医用耗材的管理制度及实施细则。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对高值医用耗材、一次性使用无菌器械和其他医用耗材的采购记录有管理，可追溯到每批产品的进货来源。有高值医用耗材使用程序与记录。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有医用耗材使用不良事件报告与监测管理流程，并执行。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科室对高值医用耗材采购与使用情况有重点监控、自查，对存在问题有整改。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主管和监管部门对高值医用耗材管理的全过程有检查、评估、分析、反馈。有不良事件监测和分析报告并检查科室整改落实情况。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有耗材管理案例体现改进效果，或形成新制度、规范、流程、举措。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（一百五十三）医学装备部门与使用部门共同管理医学装备，医学装备部门建立质量安全小组，使用部门将医学装备纳入科室管理。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153.1医学装备部门建立由部门负责人和相关设备技术人员共同组成的质量安全小组，管理全院医疗设备使用和安全管理。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医学装备和使用部门管理人员应接受医学装备管理基本技能培训，有质量管理基本知识。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定期分析全院医学装备发展规划、采购计划的完成、管理和使用情况；分析医学装备维修和报废等管理过程中存在问题。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培训（考核）知晓并落实医疗设备使用和安全管理。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医学装备使用部门有检查、分析、反馈，对存在问题有整改。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医学装备部门定期到科室巡视检查医学装备，并有分析、评估和反馈记录，并检查科室整改落实情况。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有医疗设备使用和安全管理案例体现改进效果，或形成新制度、规范、流程、举措。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153.2医学装备使用科室（或部门）将医疗仪器设备管理和使用纳入科室管理。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153.2.1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医学装备使用科室（或部门）有医学装备日常管理工作和意外应急管理等相关制度，并设专职或兼职人员管理科室医学装备。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医学装备相关使用人员接受基本技能培训，合格后方可上岗。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科室有对维护保养和管理情况有自查、有记录，对存在问题有整改。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153.2.4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建立大型医用设备管理台账，实施大型医用设备预防性维护保养计划。主管部门对质量与安全管理情况有检查、分析、反馈，并检查科室整改落实情况。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全院医学装备使用管理规范。有案例体现改进效果，或形成新制度、规范、流程、举措。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六、后勤保障管理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（一百五十四）有后勤保障管理组织、规章制度与人员岗位职责。后勤保障服务能够坚持“以患者为中心”，满足医疗服务流程需要，注重员工合理需求。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154.1有后勤保障管理组织、规章制度与人员岗位职责；后勤人员有培训并落实制度、职责。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后勤保障管理组织机构健全，规章制度完善，岗位职责明确。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后勤人员知晓岗位职责和相关制度，有定期教育培训活动。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相关科室有自查制度、自查职责落实情况，对存在问题有分析、整改。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有案例或实绩体现后勤管理采用新技术或创新管理模式、机制，取得优化改善的实际成效。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154.2后勤保障服务坚持“以患者为中心”，注重员工、患者的合理需求。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后勤保障服务体现“以患者为中心”服务理念，各项服务措施满足医疗流程需要。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后勤保障部门有为患者、员工服务的具体措施并得到落实。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有患者和员工对后勤服务的满意度调查制度与流程并实施。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相关科室对后勤服务有自查，对存在问题有分析、总结、整改。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满意度保持持续上升。有案例体现后勤服务改进效果，患者、员工对后勤保障服务满意度高。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（一百五十五）遵守国家法律、法规要求，相关岗位操作人员应具有上岗证、操作证，且操作人员应掌握技术操作规程。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155.1遵守国家法律、法规要求，相关岗位操作人员应具有上岗证、操作证，且操作人员应掌握技术操作规程。</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后勤岗位操作人员均持上岗证、操作证上岗，特种技能岗位人员持特种岗位执业资格证上岗。并由相关管理部门组织开展岗前、岗上业务技能培训，有相关培训记录。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有日常运行检查、定期定级维护保养，且台账清晰。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岗位操作人员熟悉并掌握相关岗位的技术操作规程，且安全无事故。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科室对相关工作有自查、分析、总结，对存在问题有整改。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155.1.6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有完备的安全生产管理体系和风险隐患“排查-识别-治理”循环优化措施和机制，有充分的财务投入和支持，取得安全保障持续改善的成效。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（一百五十六）控制与降低能源消耗，水、电、气、物资供应等后勤保障满足医院运行需要。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156.1水、电、气、物资供应等后勤保障满足医院运行需要。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有明确的故障报修、处理流程，有夜间、节假日出现故障时的联系维修方式和方法。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有物资申请、采购、验收、入库、保管、出库、供应、使用、报废等相关制度与流程，并有记录。实行24小时值班，有交接班记录。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有水、电、气等后勤保障应急预案，并组织演练。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相关科室和班组对各项工作开展情况有自查、总结、分析，对存在问题有整改。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有案例或实绩体现医院水、电、气等后勤资源管理采用新技术或创新管理模式、机制和举措，取得安全高效、节能降耗等优化改善成效。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156.2有控制与降低能源消耗措施和指标。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有节能降耗、控制成本的方案、制度、措施与目标，并落实到相关科室与班组。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相关人员知晓成本控制和节能措施要求并落实节能降耗措施。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相关科室对节能工作开展有举措，对实施情况有自查、分析，对存在问题有整改。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156.2.5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有案例或实绩体现医院节能减排管理采用新技术或创新管理模式、机制和举措，取得环保、节能、降耗等优化改善成效。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（一百五十七）为员工提供膳食服务，保障饮食卫生安全。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157.1为员工提供膳食服务。</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有专职部门和人员负责膳食服务和指导工作，有配送餐饮服务、食品安全与卫生管理制度并落实。有食品安全事件应急预案，定期组织演练。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医院确认供应商生产、运输及院内分送场所的设施与卫生条件符合国家食品卫生法规要求。有餐饮设备日常运行检查、定期维修保养制度与流程。有按规定执行食品留样并规范记录。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餐饮工作人员均持健康证上岗，生产人员持厨师职业资格证上岗，并由主管部门组织开展岗前及岗中培训，有培训记录。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医院有设置专门营养师为患者及职工提供营养餐、特餐指导，食堂能按需提供患者营养特餐饮食配送服务。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医院食堂具备食品安全A级餐饮服务资质。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157.1.7</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持续改进有成效，有案例或实绩体现医院膳食服务采用新技术或创新模式、机制提升服务品质，取得提升服务满意度、保障食品卫生、节能降耗等优化改善成效。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157.2食品原料采购、仓储和食品加工规范，符合卫生管理要求，保障饮食卫生安全。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有食品原料采购、仓储、加工的卫生管理相关制度和规范，符合卫生管理要求。所有食品管理符合食品卫生管理要求。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有保障食品卫生及安全管理的相关制度和规范；有食品留样相关制度，有规范、清晰的现场标识、指引。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膳食服务部门相关人员知晓本部门、本岗位的履职要求并落实制度。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157.2.6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持续改进有成效，有定期对膳食服务运行情况进行汇总分析和评价，形成书面报告，并依据分析结果采取优化措施，实现服务品质的循环改善。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（一百五十八）医疗废物、废液管理符合医院感染管理要求。污水管理和处置符合规定。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158.1医疗废物、废液管理符合医院感染管理要求。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有专人负责医疗废物、废液管理工作。有医疗废物、废液管理规章制度和相关人员岗位职责。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医疗废物、废液管理全流程符合相关法律法规的要求。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医疗废物处置暂存点建设规范、配置齐全，有运行日志，交接记录完整。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相关科室对医疗废物、废液管理有自查、分析，对存在问题有整改。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无环保安全事故，主管部门有检查和监管，并检查科室落实整改情况。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持续改进有成效，有定期对医疗废物的运行情况进行汇总分析，并依据分析结果采取优化措施。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158.2污水管理和处置符合规定。</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有专人负责污水处理工作，相关人员有上岗证。有污水处理管理规章制度和相关人员岗位职责。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污水处理符合相关法律法规的要求。并通过环保部门验收与评价。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污水站设施设备运行正常，有运行日志与监测的原始记录，交接记录完整。落实人员培训。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相关科室对污水管理和处置有自查、分析，对存在问题有整改。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无环保安全事故，主管部门有检查和监管，并检查科室落实整改情况。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158.2.6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有对接当地环保部门建立污水处理排放事务的在线实时监测、反馈工作站，有专人对污水处理设备进行专业维护，并依据监测结果及时采取优化改进措施，达成污水处理循环改善效果。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（一百五十九）医院消防系统、特种设备、危险品管理符合国家相关法律法规和标准。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159.1医院消防系统管理符合国家相关法律法规和标准。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有消防安全管理部门，消防安全管理相关制度和岗位职责符合国家相关标准和要求。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消防系统设备完好，有消防设备设施定期检查、维护、保养、维修、验收记录，有全员培训记录。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建立消防设施设备管理档案。消防安全纳入新员工培训考核内容，定期（至少每年一次）进行全院职工的消防安全教育。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医院医疗建筑的规划、设计、施工应符合《建筑设计防火规范》及《综合医院建筑设计规范》等系统防火规范标准，有消防安全验收合格证。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科室消防安全职责管理落实到人，每班人员有火灾时的应急分工。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159.1.7</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持续改进有成效，有定期对消防及安全生产工作进行现场巡查、汇总分析并形成书面报告，有实绩或案例体现消防及安全生产工作的循环改善成效。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159.2医院特种设备管理符合国家相关法律法规和标准。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有特种设备管理部门，相关人员持证上岗。有相关制度、操作规范和岗位职责，符合国家相关标准。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有特种设备定期检查、维护、保养、维修、验收记录；年检合格，并在设备上展示年检标签。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建立特种设备管理档案。有特种设备应急预案、培训并演练。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定期进行培训教育，有三级安全教育卡。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主管部门有检查和监管，并检查科室落实整改情况。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持续改进有成效，有案例体现特种设备管理改进效果，或形成新制度、规范、流程、举措。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159.3医院危险品管理符合国家相关法律法规和标准。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有危险品管理部门，相关管理制度、操作规范和岗位职责。作业人员熟悉岗位职责和管理要求，有培训，有资质。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有全院的危险品种类与目录清单、统一的危险品标识，有危险品库或专用储存柜，危险品库建设符合国家相关标准。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有完整的危险品采购、使用、消耗等登记资料，出入库台账清晰、账物相符。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有危险品库定期巡查，专人负责，有相关记录。有相应的危险品安全事件处置方案，相关人员熟悉预案及处置程序。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相关科室对危险品管理有自查、分析，对存在问题有整改。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159.3.6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持续改进有成效，有案例体现危险品管理改进效果，或形成新制度、规范、流程、举措。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（一百六十）为患者提供清洁、温馨、舒适的医院环境，符合爱国卫生运动相关要求，美化、硬化、绿化达到医院环境标准要求。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160.1为患者提供清洁、温馨、舒适的医院环境，符合爱国卫生运动相关要求，美化、硬化、绿化达到医院环境标准要求。</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有指定专门职能部门和人员负责医院环境卫生管理，制订环境卫生工作计划并组织实施。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医院环境优美、整洁、舒适。符合爱国卫生运动委员会和无烟医院相关要求。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主管部门有检查与监管。制订并落实改进环境卫生工作的计划和措施，满意度调查达到80%。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持续改进有成效，有案例体现环境管理改进效果，或形成新制度、规范、流程、举措。满意度调查达到85%。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（一百六十一）制订外包业务管理制度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161.1制订外包业务管理制度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有主管职能部门与专人负责外包业务管理，制订外包业务的遴选、管理等相关制度和方法。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所有外包业务都应有明确的、详细的合同规定双方的权利和义务，以及服务的内容和标准。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有外包业务的项目评估和审核制度与程序。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有外包业务的监督考核机制、考核记录，对违约事实根据合同落实违约责任。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能根据实际情况（如政策法规、功能任务变化等）定期与外包业务承包者进行沟通和协商，必要时修订外包合同。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有年度外包业务管理的质量安全评估报告。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161.1.7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有改进外包业务质量的机制与案例。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七、应急管理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（一百六十二）成立医院应急工作领导小组，建立医院应急指挥系统，落实责任，建立并不断完善医院应急管理的机制。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162.1成立医院应急工作领导小组，建立医院应急指挥系统，落实责任，建立并不断完善医院应急管理的机制。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有医院应急指挥系统，有职能明确的应急工作领导组织，院长是医院应急管理的第一责任人。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医院总值班参与应急管理，并有明确的职责和流程。各部门、各科室负责人在应急工作中有具体职责与任务。有院内、外和院内各部门、各科室间的协调机制，有明确的协调部门和协调人。相关人员知晓本部门、本岗位的履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有信息报告和信息发布相关制度。并落实培训制度。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有应急队伍，队伍组成的垂直和水平关系清晰，人员职责明确，覆盖应急反应的各个方面，包括后勤系统和医学装备部门的支持，确保应急行动的协调和高效。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主管部门对应急管理有检查与监管，并检查科室落实整改情况。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持续改进有成效，有案例体现应急管理改进效果，或形成新制度、规范、流程、举措。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（一百六十三）明确医院需要应对的主要突发事件策略，制定和完善各类应急预案，提高快速反应能力。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163.1明确医院需要应对的主要突发事件策略，制定和完善各类应急预案，提高快速反应能力。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制订和颁行各类突发事件总体应急制度、应急专项预案和流程，明确各个部门及相关人员职责以及应急反应行动的程序。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有对相关部门、人员进行培训，帮助各类人员对医院面临的潜在危害和风险加以识别，掌握应急预案并能及时做出正确的应急反应。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医院有定期开展各类突发事件的应急演练，并有记录、总结、分析。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相关科室对应急快速反应工作有自查、分析，对存在问题有整改。主管部门有监管及检查科室落实整改情况。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主管部门定期进行安全形势分析、评估，有监管，并形成分析报告。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163.1.6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持续改进有成效，有案例或实绩体现医院持续加强安全保障和风险防控措施，预防各类突发不良事件，取得循环改善的工作成效。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（一百六十四）开展应急培训和演练，提高各级、各类人员的应急素质和医院的整体应急能力。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164.1开展应急培训和演练，提高各级、各类人员的应急素质和医院的整体应急能力。</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医院有应急技能培训及考核计划，定期对各级各类人员进行应急相关法律、法规、预案及应急知识、技能和能力的培训，组织考核。培训考核的内容涵盖了本地区、本院需要应对的主要公共突发事件。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对各科室（部门）每年至少组织一次系统的应急培训演练，相关人员掌握主要应急防灾避险技能。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医院有停电管理的应急预案和对策。对本院备置的应急发电装置与线路等情况进行现场核验。相关部门对停电管理有应急预案和管理流程。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相关科室对提高应急素质工作有自查、分析，对存在问题有整改。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主管部门对应急培训和演练中存在的问题有检查与监管，并检查科室落实整改情况。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对应急发电装置、医技大型设备、计算机网络系统、手术室及重症康复病区等重要科室、重要设施有定期检查和常规维护记录。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164.1.7</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供电管理部门实行24小时值班制，有完整交接班记录。有停电及应急处理的完整记录，记录时间准确到分，有处理人员的签名。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164.1.8</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持续改进有成效，有实例体现医院应用创新措施和机制提升人员应急素质和医院的整体应急能力，形成新制度、规范、流程、举措。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（一百六十五）合理进行应急物资和设备的储备。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165.1合理进行应急物资和设备的储备。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有应急物资和设备的储备计划、管理制度、审批程序。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有必备物资储备目录，有应急物资和设备的使用登记。有定期维护，确保效期，自查有记录。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开展对应急物资调配的培训。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相关科室对提高应急物资和设备的调配工作有自查、分析，对存在问题有整改。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主管部门定期对应急物资和设备储备有检查与监管，并检查科室落实整改情况。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现库存的储备物资与目录相符，有适量的药品器材、生命复苏设备、消毒药品器材与防护用品储备。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有应急物资紧急供给渠道，有与相关供应商签订饮水、食品及其他应急物资紧急供应的协议。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165.1.8</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持续改进有成效，定期更新应急物资管理规范。有案例体现应急物资和设备储备改进效果，或形成新制度、规范、流程、举措。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八、科研教学与图书管理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（一百六十六）有鼓励全员参与科研工作的制度和办法，促进科研成果向临床应用转化，并提供适当的经费、条件、设施和人员支持。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jc w:val="center"/>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166.1有鼓励医务人员参与科研工作的制度和办法，促进科研成果向临床应用转化，并提供适当的经费、条件、设施和人员支持</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166.1.1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制定科研工作管理制度以及鼓励医务人员参与科研工作的具体措施。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166.1.2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制定将研究成果转化实践应用的激励政策并落实。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166.1.3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有科研经费支持及相应的科研条件与设施。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医院设立科研支持基金和鼓励性科研的经费相关资料。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3" w:type="dxa"/>
            <w:vMerge w:val="continue"/>
            <w:shd w:val="clear" w:color="auto" w:fill="auto"/>
            <w:vAlign w:val="center"/>
          </w:tcPr>
          <w:p>
            <w:pPr>
              <w:spacing w:line="240" w:lineRule="exact"/>
              <w:jc w:val="center"/>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七）开展药物、医疗器械临床试验应当符合《药物临床试验质量管理规范》《医疗器械临床试验质量管理规范》；开展研究者发起的临床研究符合《医疗卫生机构开展临床研究项目管理办法》《医疗卫生机构开展研究者发起的临床研究管理办法（试行）》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167.1药物、医疗器械、体外诊断试剂的临床试验及临床研究的开展符合规定。</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开展药物、医疗器械、体外诊断试剂临床试验需有临床试验机构和专业组PI备案资质。有药物、医疗器械、体外诊断试剂临床试验和研究者发起的临床研究的管理制度与流程，并执行。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对研究者、受试者相关制度执行有监督和保障措施，并有可查询的安全记录；保证受试者在试验期间出现不良事件时得到适当的治疗并及时上报严重不良事件。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临床试验用药品、医疗器械、体外诊断试剂管理规范。试验用药品、医疗器械、体外诊断试剂的供给、使用、储藏及剩余实物的处理过程有记录。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研究者将数据真实、准确、完整、及时、合法地载入病历和病例报告表。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临床科室对相关单位与部门的监查、质控和检查所发现的问题有改进，有记录。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药物、医疗器械、体外诊断试剂临床试验和研究者发起的临床研究管理规范，资料完整。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八）开展涉及人的生命科学和医学研究应经伦理（审查）委员会审查通过。伦理（审查）委员会的人员组成、日常管理和审查工作应符合《涉及人的生物医学研究伦理审查办法》和《涉及人的生命科学和医学研究伦理审查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168.1开展涉及人的生命科学和医学研究应经伦理（审查）委员会审查通过。伦理（审查）委员会的人员组成、日常管理和审查工作应符合《涉及人的生物医学研究伦理审查办法》和《涉及人的生命科学和医学研究伦理审查办法》规定。</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按规定设立伦理（审查）委员会，并向本机构的执业登记机关备案。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对本机构开展的涉及人的生命科学和医学研究进行伦理审查，包括初始审查和跟踪审查。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定期对本机构从事涉及人的生命科学和医学研究的科研人员、学生、科研管理人员等相关人员进行生命伦理教育和培训。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无违规擅自开展涉及人的生命科学和医学研究案例。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对主管部门督导检查反馈的问题及时整改落实。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168.1.6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（一百六十九）承担临床医学教育任务的医院师资、教学管理干部、设备、设施等资源配置符合有关医学院校教育、毕业后教育和继续医学教育的要求，具备开展康复专业技术人员培训的条件。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169.1承担临床医学教育任务的医院师资、教学管理干部、设备、设施等资源配置符合有关医学院校教育、毕业后教育和继续医学教育的要求，具备开展康复专业技术人员培训的条件。</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制定教学规划、资金投入和保障制度，并落实。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教学师资、设施设备，符合对康复专业技术人员的教学要求。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有主管院领导，指定部门和专职人员、专（兼）职教师负责教学管理工作。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承担医学院校康复专科医学生、护士及治疗师的临床康复教学和实习任务，有可追溯的记录。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开展继续医学教育工作，制订师资激励机制并予以落实，资料完整。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169.1.7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（一百七十）根据临床、教学、科研和管理的需要，有计划、有重点地收集国内外各种医学及相关学科的图书和文献，开展多层次多种方式的读者服务工作，提高信息资源的利用率。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170.1根据临床、教学、科研和管理的需要，有计划、有重点地收集国内外各种医学及相关学科的图书和文献，开展多层次多种方式的读者服务工作，提高信息资源的利用率。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制定医学图书馆工作制度和信息服务制度，能提供文献查询服务。有网上图书预约、催还、续借和馆际互借等功能；可提供网络版医学文献数据库(中文、外文期刊库等)全文文献检索服务。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开展定题检索、信息编译和分析研究以及最新文献报道等信息服务工作，满足临床、教学、科研、管理和员工的文献信息需求。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九、行风与文化建设管理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（一百七十一）医院应当加强医务人员职业道德教育，弘扬社会主义核心价值观和新时代医疗卫生职业精神，坚持“以患者为中心”，尊重患者权利，履行防病治病、救死扶伤、保护人民健康的神圣职责。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171.1医院应当加强医务人员职业道德教育，弘扬社会主义核心价值观和新时代医疗卫生职业精神，坚持“以患者为中心”，尊重患者权利，履行防病治病、救死扶伤、保护人民健康的神圣职责。</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制定医务人员职业道德建设和教育的制度并落实。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相关部门有开展弘扬社会主义核心价值观和新时代医疗卫生职业精神的实施方案，并对在践行过程中涌现的先进典型进行宣传。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员工知晓职业道德规范要求、社会主义核心价值观及新时代医疗卫生职业精神内涵，知晓率高。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（一百七十二）重视医院文化建设，建立医院文化建设制度，把医院文化培育成核心竞争力，逐步建立以患者为中心、注重医疗质量安全根植于医院服务理念的特色价值取向和行为标准。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172.1重视医院文化建设，建立医院文化建设制度，把医院文化培育成核心竞争力，逐步建立以患者为中心、注重医疗质量安全根植于医院服务理念的特色价值取向和行为标准。</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医院文化建设纳入医院建设发展规划，有建设制度和方案，能够体现以患者为中心导向、根植于本院服务理念。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有对员工医院价值取向的培训和教育，员工知晓率达到90%。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院内各部门、科室有开展多种形式的医院文化建设活动。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有指定部门负责，开展医院文化调研活动。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持续改进有成效，有数据体现医院文化建设获得大部分员工满意。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（一百七十三）执行《关于建立医务人员医德考评制度的指导意见（试行）》，落实《医疗机构工作人员廉洁从业九项准则》，建立行风建设与管理的组织和制度体系，完善工作机制。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173.1建立行风建设与管理的组织体系，有明确的职能主管部门负责行风监管与考核；制定相关制度，有奖惩措施并确保落实。</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执行《关于建立医务人员医德考评制度的指导意见（试行）》，有行风建设与管理组织体系，有专（兼）职人员负责管理与考评，并有与其他职能部门的协调机制。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有行风建设、考评、奖惩和公示等制度，有行风考评方案和量化标准，并落实。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医德考评结果与医务人员的晋职晋级、岗位聘用、评先评优、绩效工资、定期考核等直接挂钩。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有规范的行风考评档案。有多部门共同参与的行风考评及结果共享机制。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173.2有制度与相关措施监管和约束医院员工通过职务便利谋取不正当利益，落实“行风建设九不准”行为。</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落实《医疗机构工作人员廉洁从业九项准则》，有廉洁自律的工作规范和相关制度，并落实。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对全体员工，尤其重点部门、重点人员进行廉洁自律及警示教育，有廉洁自律工作的自查。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有重点岗位、重点人员轮岗机制，并落实。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有措施并落实“行风建设九不准”行为。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173.2.6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持续改进有成效，有数据或案例体现改进效果或形成新制度、规范、流程、举措等。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微软雅黑" w:hAnsi="微软雅黑" w:eastAsia="微软雅黑" w:cs="微软雅黑"/>
                <w:b/>
                <w:bCs/>
                <w:sz w:val="28"/>
                <w:szCs w:val="28"/>
                <w:lang w:eastAsia="zh-CN"/>
              </w:rPr>
              <w:t>第四章  补充条款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一、重症医学管理及持续改进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（一百七十四）重症医学学科布局、设备设施、专业人员配置、院感防控符合要求，从事重症医学的医师与护理人员实行资格、技术能力准入管理，各岗位职责明确。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174.1重症医学学科布局符合院感等相关要求，落实院感各项制度，防控指标达标。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医院有重症医学学科设置，重症医学病区布局符合国家相关建设要求及院感防控要求。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根据《医院感染管理办法》和《重症监护病房医院感染预防与控制规范》等法律法规要求，制订科室感染防控管理、消毒隔离等制度及流程。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根据医院相关制度，制定抗菌药物使用控制指标、导管、呼吸机、尿路等感染率控制指标。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医务人员知晓管理制度和指标控制要求并在工作中自觉落实。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有数据或案例体现改进效果或形成新制度、规范、流程、举措等。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174.2加强重症医学设备设施、专业人员和技术力量配备，重症医学的医师与护理人员实行资格、技术能力准入管理，各岗位职责明确。</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重症医学科人员、设备配置符合国家相关要求，满足重症救治需求；科主任具有副高级以上专业技术职称，护士长具有中级以上专业技术职称并有2年以上重症监护临床护理工作经验；各岗位职责明确。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有重症医学技术和技能培训考核制度、年度培训计划并组织落实；从事重症医学的医护人员需经专业培训，掌握重症医学的基本知识和基本技能要求，具备独立工作能力，考核合格后方能进入重症医学岗位。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对高风险技术、床旁检测技术等实行授权、再授权制度，动态管理。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有重症医学设备设施维护保养制度和实施细则，并有专人负责，各设备设施处于备用完好状态。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174.2.7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培训、考核、授权资料完整，无人员未经授权开展高风险技术、床旁检测技术。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rPr>
            </w:pPr>
            <w:r>
              <w:rPr>
                <w:rFonts w:hint="eastAsia" w:ascii="仿宋_GB2312" w:hAnsi="宋体" w:eastAsia="仿宋_GB2312" w:cs="仿宋_GB2312"/>
                <w:b/>
                <w:bCs/>
                <w:sz w:val="24"/>
                <w:szCs w:val="24"/>
                <w:lang w:eastAsia="zh-CN"/>
              </w:rPr>
              <w:t>（一百七十五）有重症医学学科管理制度、专科技术诊疗规范和操作规程；注重入住、出科指征掌控，质量与安全指标监控；落实多学科协作诊疗（MDT）、重症患者评估、家属探视/病情告知等制度，保障患方合法权益。重症医学床位、急救设备统一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175.1完善重症医学学科管理制度、专科技术诊疗规范和操作规程；严格掌握重症患者入住、转出指征，保障全院重症患者的收治。</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有重症医学学科各项管理制度、专科技术诊疗规范和操作规程，并及时更新。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严格按重症监护病区入住、转出指征收治重症患者，按要求对每位收治重症监护的病人进行重症评估。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有收治危重患者床位不足、急救设备不足、突发事件、感染性疾病收治等应急协调机制和预案。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有组织医务人员定期学习各项管理规章制度和专业技术规范，并按制度、规范开展临床工作。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有数据显示科室收治重症患者符合入室指征率≥90%。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175.2有明确的质量与安全监控指标，定期评价，保证医疗质量与安全。</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有重症医学的质量与安全控制指标。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科主任和质控员熟知指标要求并掌握科室指标完成情况并在科室通报。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科室质量与安全小组每月对科室指标完成情况进行讨论分析，提出科室改进措施。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有信息系统支持科室医疗工作数据采集，科室对各项指标完成情况有定期自查、总结分析、整改。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有数据显示科室各项指标呈正向趋势。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175.3建立多学科协作诊疗（MDT）机制，保障重症患者得到有效治疗。定期评价重症患者的临床诊疗质量。</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有多学科诊疗相关规定和流程，明确需多学科诊疗的范畴，通过与相关学科医师联合查房、病例讨论等形式，提供专科诊疗支持与协作。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多学科诊疗的病例，患者所在科室应有副主任职称以上医师参加联合讨论。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多学科诊疗的意见，应在病历中有记载，并落实讨论确定的诊疗意见。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对超过科室平均住院天数的病人有重点讨论、分析。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175.3.7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有数据显示多学科协作诊疗带来的效果。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175.4落实患者家属探视、病情告知、授权等制度。</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有重症医学学科患者家属探视制度，家属探视应符合院感、疫情防控等要求，并根据国家相关政策及时更新。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有重症医学学科患者家属病情告知、授权规范，包括告知时间、告知范围、告知内容等，规范应符合国家法律要求并结合实际工作制定。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医务人员熟知患者家属探视、告知、授权等规范要求并在工作中落实，在病历中做好记录；需患方签名的应予落实。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主管部门定期督导检查、分析、反馈，并检查科室整改落实情况。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175.4.6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无因探视、告知、授权问题造成的重大事件。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二、国家医疗质量安全改进目标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（一百七十六）提高住院患者抗菌药物治疗前病原学送检率。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176.1制定抗菌药物治疗性用药前病原学送检制度与监管评价机制，通过完善管理和培训，提高住院患者抗菌药物治疗前病原学送检率。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按照《抗菌药物临床应用管理办法》完善管理组织架构的基础上，成立由医务、药学、临床科室、检验、院感、护理等部门组成的专项工作小组，明确职责并开展相关工作。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实际情况制订医院抗菌药物治疗性用药前病原学送检制度与监管程序，并在医院内部定期进行相关工作的培训与再教育，病原学检验项目包括：细菌培养、真菌培养；降钙素原检测、白介素-6检测、真菌1-3-β-D葡聚糖检测（G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176.1.3</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临床科室有明确的住院患者抗菌药物治疗前病原学送检率指标要求；有监测及评价机制，明确相关质控指标数据采集方法与数据内部验证程序，按科室进行医院数据分析、反馈，并将目标改进情况纳入绩效管理，建立激励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科室定期对抗菌药物治疗性用药前病原学送检情况进行自查、总结分析及改进。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主管部门运用质量管理工具，查找、分析影响医院实现目标完成的因素，提出改进措施并落实。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176.1.6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全院住院患者抗菌药物治疗前病原学送检率达到预期目标，有数据或案例体现改进效果。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（一百七十七）提高静脉血栓栓塞症规范预防率。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177.1成立VTE管理团队，完善VTE防治工作制度和机制，规范开展VTE风险评估和出血风险评估，提高VTE规范预防率。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医疗机构成立由医务、临床科室、护理等部门组成的VTE管理团队，有VTE防治工作制度和机制并落实。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有住院患者VTE风险与出血风险评估制度及评估方法，有规范的VTE预防（包括药物预防、机械预防等）临床指南及实施措施，医务人员知晓并执行。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建立急危重症患者VTE处理的应急预案，有VTE相关患者会诊与转诊机制。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有VTE质量监测及评价机制，明确相关质控指标数据采集方法，将目标完成情况纳入科室绩效管理。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科室对VTE规范预防开展情况有定期自查，并运用质量管理工具，总结分析，提出改进措施并落实。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主管部门定期查找、分析影响全院、相关科室实现目标的因素，提出改进措施并检查科室落实整改情况。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177.1.7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住院患者100%开展VTE风险与出血风险评估，有数据显示VTE规范预防率持续提高。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（一百七十八）提高病案首页主要诊断编码正确率。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178.1充分发挥病案管理委员会作用，完善相关管理工作制度与机制，制定与实施本机构病案首页规范化填报技术指南，不断提高病案首页主要诊断编码正确率。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有病案首页质量管理制度及考评标准，制订本机构病案首页规范化填报技术指南，有明确的主要诊断选择原则、ICD编码原则等内容。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有定期围绕病案首页规范化填报、质量监测等开展宣教培训，医师和病案管理人员知晓并落实。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有建立制度化、常态化、多部门协作的监测及评价机制，定期开展监控、分析与评价。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病案主管部门定期对编码员开展培训与考核，按照国家统一发布的疾病分类代码准确进行编码。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178.1.5</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科室定期对本科室住院病案首页中主要诊断准确选择和规范填写情况进行自查，运用质量管理工具分析原因、提出改进措施并落实。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病案主管部门定期对各科室住院病案首页中主要诊断准确选择和规范填写的情况开展督查、分析与反馈，并将目标改进情况纳入科室绩效管理。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178.1.7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有数据或案例体现病案首页主要诊断编码正确率的改进效果。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（一百七十九）提高医疗质量安全不良事件报告率。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179.1成立医疗质量安全不良事件管理专项工作小组，完善不良事件管理的各项管理制度、报告制度和工作机制，引导和鼓励医务人员主动发现和上报不良事件，不断提高报告率。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179.1.1</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成立由医务、护理、院感、各临床科室等部门组成的专项工作小组，完善医疗质量安全不良事件管理的相关制度、工作机制，有提高医疗质量安全不良事件报告率的方案及措施并落实。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在全院范围开展医疗质量安全不良事件管理及报告培训工作，提高医务人员识别与防范医疗质量安全不良事件的意识和能力，引导和鼓励医务人员主动发现和上报医疗质量安全不良事件，构建非惩罚性文化氛围。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医院对各科室有明确的医疗质量安全不良事件报告要求，定期通报各科室医疗质量安全不良事件报告情况。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科室对医疗质量安全不良事件报告情况有定期自查、总结分析与整改。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主管部门运用质量管理工具，查找、分析影响本机构提升医疗质量安全不良事件报告率的因素，提出改进措施并落实。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179.1.6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有数据或案例体现医疗质量安全不良事件报告率的改进效果。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（一百八十）降低住院患者静脉输液使用率。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180.1成立患者静脉输液管理专项工作小组，完善静脉输液治疗管理相关工作制度和机制，确定本机构无需静脉输液治疗的病种清单，降低住院患者静脉输液使用率。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成立由医务、临床科室、药事、护理、后勤等部门组成的患者静脉输液管理专项工作小组，职责分工明确，静脉输液治疗管理相关工作制度和机制完善。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确定本机构无需静脉输液治疗的病种清单，优化药品供应机制，保障常用药物口服、外用等剂型的合理供应。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定期进行相关培训与再教育，促进医务人员科学选择给药方式，建立优化给药途径的激励和约束机制。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建立监测及评价机制，明确相关质控指标数据采集方法与数据内部验证程序，对临床科室有明确的降低住院患者静脉输液使用率指标要求。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临床科室对本科室静脉输液使用情况有定期自查、总结分析、整改。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运用质量管理工具，定期查找、分析影响本机构实现提高住院患者静脉输液规范使用率目标的因素，提出改进措施并落实；有指定部门监测、分析静脉输液治疗药物使用数量和强度等情况，并向专项工作小组及临床及时反馈监测和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180.1.7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有数据或案例显示全院住院患者静脉输液使用率达到预期下降目标。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（一百八十一）降低血管内导管相关血流感染发生率。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181.1有血管内导管相关感染的制度、规范、联合监测及评价机制，并落实相关预防与控制措施，降低血管内导管相关血流感染发生率。</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成立由医务、护理、院感、临床科室等相关部门组成血管内导管相关血流感染防控专项工作小组，并指定牵头部门。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181.1.2</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有预防血管内导管相关感染的规章制度，制定并落实预防与控制血管内导管相关感染的工作规范和操作规程，明确相关责任部门和人员职责，并定期开展培训。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有医务人员评估患者发生血管内导管相关感染风险因素的机制，按规范实施预防和控制血管内导管相关感染措施。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181.1.4</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有监测及评价机制，明确相关质控指标数据采集方法和数据内部验证程序，按科室进行数据分析、反馈，考评结果纳入绩效管理，建立激励和约束机制。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科室有定期自查、总结分析与整改。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181.1.6</w:t>
            </w:r>
          </w:p>
        </w:tc>
        <w:tc>
          <w:tcPr>
            <w:tcW w:w="6978" w:type="dxa"/>
            <w:gridSpan w:val="2"/>
            <w:shd w:val="clear" w:color="auto" w:fill="auto"/>
            <w:vAlign w:val="center"/>
          </w:tcPr>
          <w:p>
            <w:pPr>
              <w:spacing w:line="240" w:lineRule="exact"/>
              <w:jc w:val="both"/>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医院运用质量管理工具，查找、分析影响医院降低血管内导管相关血流感染发生率的因素，根据分析结果明确关键原因，制定改进措施并组织实施。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181.1.7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有数据或案例体现改进效果。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三、医用氧舱管理与持续改进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070" w:type="dxa"/>
            <w:gridSpan w:val="4"/>
            <w:shd w:val="clear" w:color="auto" w:fill="auto"/>
            <w:vAlign w:val="center"/>
          </w:tcPr>
          <w:p>
            <w:pPr>
              <w:spacing w:line="240" w:lineRule="exact"/>
              <w:textAlignment w:val="center"/>
              <w:rPr>
                <w:rFonts w:ascii="仿宋_GB2312" w:hAnsi="宋体" w:eastAsia="仿宋_GB2312" w:cs="仿宋_GB2312"/>
                <w:b/>
                <w:bCs/>
                <w:sz w:val="24"/>
                <w:szCs w:val="24"/>
                <w:lang w:eastAsia="zh-CN"/>
              </w:rPr>
            </w:pPr>
            <w:r>
              <w:rPr>
                <w:rFonts w:hint="eastAsia" w:ascii="仿宋_GB2312" w:hAnsi="宋体" w:eastAsia="仿宋_GB2312" w:cs="仿宋_GB2312"/>
                <w:b/>
                <w:bCs/>
                <w:sz w:val="24"/>
                <w:szCs w:val="24"/>
                <w:lang w:eastAsia="zh-CN"/>
              </w:rPr>
              <w:t>（一百八十二）执行医用氧舱国家法律法规、技术标准，安全管理、安全操作；加强高压氧治疗诊疗服务全程监控，定期质量评价，促进持续改进。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182.1人员合理配置，能履行岗位职责。制度与流程完善包括对进舱人员进行安全教育。</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有医用氧舱各项管理制度、安全操作规程、岗位职责、医疗护理常规，相关人员熟知并严格执行。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各岗位人员配置满足临床需求，上岗人员（医师、操作人员、维护人员）应取得相应资格证书。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对进舱人员实行安全宣教并有记录；患者入舱时，按照规范做好心理护理工作，指导患者配合治疗。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有控制氧浓度的制度与流程，相关人员熟知并严格按规范操作，做好操作前后的完整记录，无违规情况发生。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科室对相关工作有自查、分析、总结，对存在问题有整改。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主管部门有检查与监管，有分析总结，有改进措施。并检查科室落实整改情况。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182.1.7</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有案例体现制度与流程改进效果，或形成新制度、规范、流程、举措。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182.2有质量安全指标，定期检验医用氧舱，定期开展高压氧治疗质量评价。</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医用氧舱布局及执业符合相关法律法规要求，相关执业文件在有效期内。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有质量安全指标，有适宜的评价方式与质量管理工具，定期开展高压氧治疗质量评价。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对医用氧舱定期进行检验，有质量技术监督机构定期进行检验的记录，资料完整，设备处于良好状态。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科室对相关工作有自查、分析、总结，对存在问题有整改。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主管部门有检查与监管、分析、反馈。并检查科室落实整改情况。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182.2.6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有案例体现高压氧治疗质量改进效果，或形成新制度、规范、流程、举措。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182.3制定紧急情况时的处理措施和应急方案，并定期演练。</w:t>
            </w: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182.3.1</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有包括预防各种气源伤人等紧急情况的应急预案及处理措施，明确各相关人员职责，有协调机制。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182.3.2</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紧急情况处理规范，相关人员熟练掌握流程要求。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182.3.3</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定期组织应急预案培训与演练。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182.3.4</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科室对高压氧紧急情况工作有自查、分析、总结，对存在问题有整改。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182.3.5</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无重大事件发生。主管部门有检查与监管，并检查科室落实整改情况。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continue"/>
            <w:shd w:val="clear" w:color="auto" w:fill="auto"/>
            <w:vAlign w:val="center"/>
          </w:tcPr>
          <w:p>
            <w:pPr>
              <w:spacing w:line="240" w:lineRule="exact"/>
              <w:rPr>
                <w:rFonts w:ascii="仿宋_GB2312" w:hAnsi="宋体" w:eastAsia="仿宋_GB2312" w:cs="仿宋_GB2312"/>
                <w:sz w:val="24"/>
                <w:szCs w:val="24"/>
                <w:lang w:eastAsia="zh-CN"/>
              </w:rPr>
            </w:pPr>
          </w:p>
        </w:tc>
        <w:tc>
          <w:tcPr>
            <w:tcW w:w="1239" w:type="dxa"/>
            <w:shd w:val="clear" w:color="auto" w:fill="auto"/>
            <w:vAlign w:val="center"/>
          </w:tcPr>
          <w:p>
            <w:pPr>
              <w:spacing w:line="240" w:lineRule="exact"/>
              <w:jc w:val="center"/>
              <w:textAlignment w:val="center"/>
              <w:rPr>
                <w:rFonts w:ascii="仿宋_GB2312" w:hAnsi="宋体" w:eastAsia="仿宋_GB2312" w:cs="仿宋_GB2312"/>
                <w:sz w:val="24"/>
                <w:szCs w:val="24"/>
              </w:rPr>
            </w:pPr>
            <w:r>
              <w:rPr>
                <w:rFonts w:hint="eastAsia" w:ascii="仿宋_GB2312" w:hAnsi="宋体" w:eastAsia="仿宋_GB2312" w:cs="仿宋_GB2312"/>
                <w:sz w:val="24"/>
                <w:szCs w:val="24"/>
                <w:lang w:eastAsia="zh-CN"/>
              </w:rPr>
              <w:t>182.3.6</w:t>
            </w:r>
          </w:p>
        </w:tc>
        <w:tc>
          <w:tcPr>
            <w:tcW w:w="6978" w:type="dxa"/>
            <w:gridSpan w:val="2"/>
            <w:shd w:val="clear" w:color="auto" w:fill="auto"/>
            <w:vAlign w:val="center"/>
          </w:tcPr>
          <w:p>
            <w:pPr>
              <w:spacing w:line="240" w:lineRule="exact"/>
              <w:textAlignment w:val="center"/>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有案例体现高压氧紧急情况改进效果，或形成新制度、规范、流程、举措。</w:t>
            </w:r>
          </w:p>
        </w:tc>
      </w:tr>
    </w:tbl>
    <w:p>
      <w:pPr>
        <w:rPr>
          <w:color w:val="auto"/>
          <w:lang w:eastAsia="zh-CN"/>
        </w:rPr>
      </w:pPr>
    </w:p>
    <w:sectPr>
      <w:footerReference r:id="rId63" w:type="default"/>
      <w:pgSz w:w="11906" w:h="16839"/>
      <w:pgMar w:top="1431" w:right="1556" w:bottom="909" w:left="1556" w:header="0" w:footer="74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MS UI Gothic">
    <w:altName w:val="方正书宋_GBK"/>
    <w:panose1 w:val="020B0600070205080204"/>
    <w:charset w:val="80"/>
    <w:family w:val="swiss"/>
    <w:pitch w:val="default"/>
    <w:sig w:usb0="00000000" w:usb1="00000000" w:usb2="00000012" w:usb3="00000000" w:csb0="0002009F"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111" o:spid="_x0000_s211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69"/>
      <w:rPr>
        <w:rFonts w:ascii="Times New Roman" w:hAnsi="Times New Roman" w:eastAsia="Times New Roman" w:cs="Times New Roman"/>
        <w:sz w:val="18"/>
        <w:szCs w:val="18"/>
      </w:rPr>
    </w:pPr>
    <w:r>
      <w:rPr>
        <w:sz w:val="18"/>
      </w:rPr>
      <w:pict>
        <v:shape id="_x0000_s2101" o:spid="_x0000_s2101"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- 8 -</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69"/>
      <w:rPr>
        <w:rFonts w:ascii="Times New Roman" w:hAnsi="Times New Roman" w:eastAsia="Times New Roman" w:cs="Times New Roman"/>
        <w:sz w:val="18"/>
        <w:szCs w:val="18"/>
      </w:rPr>
    </w:pPr>
    <w:r>
      <w:rPr>
        <w:sz w:val="18"/>
      </w:rPr>
      <w:pict>
        <v:shape id="_x0000_s2100" o:spid="_x0000_s210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9" o:spid="_x0000_s2099"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8" o:spid="_x0000_s2098"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7" o:spid="_x0000_s2097"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- 12 -</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6" o:spid="_x0000_s209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- 13 -</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5" o:spid="_x0000_s2095"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- 14 -</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25"/>
      <w:rPr>
        <w:rFonts w:ascii="Times New Roman" w:hAnsi="Times New Roman" w:eastAsia="Times New Roman" w:cs="Times New Roman"/>
        <w:sz w:val="18"/>
        <w:szCs w:val="18"/>
      </w:rPr>
    </w:pPr>
    <w:r>
      <w:rPr>
        <w:sz w:val="18"/>
      </w:rPr>
      <w:pict>
        <v:shape id="_x0000_s2094" o:spid="_x0000_s2094"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93" o:spid="_x0000_s2093"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92" o:spid="_x0000_s2092"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110" o:spid="_x0000_s211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91" o:spid="_x0000_s2091"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- 18 -</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90" o:spid="_x0000_s2090"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- 19 -</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9" o:spid="_x0000_s2089"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- 20 -</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88" o:spid="_x0000_s2088"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- 21 -</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87" o:spid="_x0000_s2087"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- 22 -</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6" o:spid="_x0000_s208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- 23 -</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w:pict>
        <v:shape id="_x0000_s2085" o:spid="_x0000_s2085"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- 24 -</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4" o:spid="_x0000_s2084"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- 25 -</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3" o:spid="_x0000_s2083"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- 26 -</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2" o:spid="_x0000_s2082"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- 27 -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w:pict>
        <v:shape id="_x0000_s2109" o:spid="_x0000_s210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80" o:spid="_x0000_s2080"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- 29 -</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9" o:spid="_x0000_s2079"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- 30 -</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8" o:spid="_x0000_s2078"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- 31 -</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7" o:spid="_x0000_s2077"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- 32 -</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6" o:spid="_x0000_s207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- 33 -</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5" o:spid="_x0000_s2075"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- 34 -</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4" o:spid="_x0000_s2074"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- 35 -</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3" o:spid="_x0000_s2073"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- 36 -</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2" o:spid="_x0000_s2072"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- 37 -</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1" o:spid="_x0000_s2071"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- 38 -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108" o:spid="_x0000_s210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70" o:spid="_x0000_s2070"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- 39 -</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9" o:spid="_x0000_s2069"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- 40 -</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8" o:spid="_x0000_s2068"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- 41 -</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7" o:spid="_x0000_s2067"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- 42 -</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6" o:spid="_x0000_s206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- 43 -</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5" o:spid="_x0000_s2065"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- 44 -</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4" o:spid="_x0000_s2064"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- 45 -</w:t>
                </w:r>
                <w: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3" o:spid="_x0000_s2063"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- 46 -</w:t>
                </w:r>
                <w: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2" o:spid="_x0000_s2062"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- 47 -</w:t>
                </w:r>
                <w:r>
                  <w:fldChar w:fldCharType="end"/>
                </w:r>
              </w:p>
            </w:txbxContent>
          </v:textbox>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1" o:spid="_x0000_s2061"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4"/>
      <w:rPr>
        <w:rFonts w:ascii="Times New Roman" w:hAnsi="Times New Roman" w:eastAsia="Times New Roman" w:cs="Times New Roman"/>
        <w:sz w:val="18"/>
        <w:szCs w:val="18"/>
      </w:rPr>
    </w:pPr>
    <w:r>
      <w:rPr>
        <w:sz w:val="18"/>
      </w:rPr>
      <w:pict>
        <v:shape id="_x0000_s2107" o:spid="_x0000_s210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60" o:spid="_x0000_s2060"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- 49 -</w:t>
                </w:r>
                <w:r>
                  <w:fldChar w:fldCharType="end"/>
                </w:r>
              </w:p>
            </w:txbxContent>
          </v:textbox>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9" o:spid="_x0000_s2059"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- 50 -</w:t>
                </w:r>
                <w:r>
                  <w:fldChar w:fldCharType="end"/>
                </w:r>
              </w:p>
            </w:txbxContent>
          </v:textbox>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8" o:spid="_x0000_s2058"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- 51 -</w:t>
                </w:r>
                <w:r>
                  <w:fldChar w:fldCharType="end"/>
                </w:r>
              </w:p>
            </w:txbxContent>
          </v:textbox>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7" o:spid="_x0000_s2057"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- 52 -</w:t>
                </w:r>
                <w:r>
                  <w:fldChar w:fldCharType="end"/>
                </w:r>
              </w:p>
            </w:txbxContent>
          </v:textbox>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6" o:spid="_x0000_s205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- 53 -</w:t>
                </w:r>
                <w:r>
                  <w:fldChar w:fldCharType="end"/>
                </w:r>
              </w:p>
            </w:txbxContent>
          </v:textbox>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900"/>
      <w:rPr>
        <w:rFonts w:ascii="Times New Roman" w:hAnsi="Times New Roman" w:eastAsia="Times New Roman" w:cs="Times New Roman"/>
        <w:sz w:val="18"/>
        <w:szCs w:val="18"/>
      </w:rPr>
    </w:pPr>
    <w:r>
      <w:rPr>
        <w:sz w:val="18"/>
      </w:rPr>
      <w:pict>
        <v:shape id="_x0000_s2055" o:spid="_x0000_s2055"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- 54 -</w:t>
                </w:r>
                <w:r>
                  <w:fldChar w:fldCharType="end"/>
                </w:r>
              </w:p>
            </w:txbxContent>
          </v:textbox>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4" o:spid="_x0000_s2054"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- 55 -</w:t>
                </w:r>
                <w:r>
                  <w:fldChar w:fldCharType="end"/>
                </w:r>
              </w:p>
            </w:txbxContent>
          </v:textbox>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3" o:spid="_x0000_s2053"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- 56 -</w:t>
                </w:r>
                <w:r>
                  <w:fldChar w:fldCharType="end"/>
                </w:r>
              </w:p>
            </w:txbxContent>
          </v:textbox>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2" o:spid="_x0000_s2052"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- 57 -</w:t>
                </w:r>
                <w:r>
                  <w:fldChar w:fldCharType="end"/>
                </w:r>
              </w:p>
            </w:txbxContent>
          </v:textbox>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1" o:spid="_x0000_s2051"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- 58 -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6"/>
      <w:rPr>
        <w:rFonts w:ascii="Times New Roman" w:hAnsi="Times New Roman" w:eastAsia="Times New Roman" w:cs="Times New Roman"/>
        <w:sz w:val="18"/>
        <w:szCs w:val="18"/>
      </w:rPr>
    </w:pPr>
    <w:r>
      <w:rPr>
        <w:sz w:val="18"/>
      </w:rPr>
      <w:pict>
        <v:shape id="_x0000_s2106" o:spid="_x0000_s210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0"/>
      <w:rPr>
        <w:rFonts w:ascii="Times New Roman" w:hAnsi="Times New Roman" w:eastAsia="Times New Roman" w:cs="Times New Roman"/>
        <w:sz w:val="18"/>
        <w:szCs w:val="18"/>
      </w:rPr>
    </w:pPr>
    <w:r>
      <w:rPr>
        <w:sz w:val="18"/>
      </w:rPr>
      <w:pict>
        <v:shape id="_x0000_s2050" o:spid="_x0000_s2050"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- 59 -</w:t>
                </w:r>
                <w:r>
                  <w:fldChar w:fldCharType="end"/>
                </w:r>
              </w:p>
            </w:txbxContent>
          </v:textbox>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3"/>
      <w:rPr>
        <w:rFonts w:ascii="Times New Roman" w:hAnsi="Times New Roman" w:eastAsia="Times New Roman" w:cs="Times New Roman"/>
        <w:sz w:val="18"/>
        <w:szCs w:val="18"/>
      </w:rPr>
    </w:pPr>
    <w:r>
      <w:rPr>
        <w:sz w:val="18"/>
      </w:rPr>
      <w:pict>
        <v:shape id="_x0000_s2049" o:spid="_x0000_s2049"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- 169 -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2"/>
      <w:rPr>
        <w:rFonts w:ascii="Times New Roman" w:hAnsi="Times New Roman" w:eastAsia="Times New Roman" w:cs="Times New Roman"/>
        <w:sz w:val="18"/>
        <w:szCs w:val="18"/>
      </w:rPr>
    </w:pPr>
    <w:r>
      <w:rPr>
        <w:sz w:val="18"/>
      </w:rPr>
      <w:pict>
        <v:shape id="_x0000_s2105" o:spid="_x0000_s210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895"/>
      <w:rPr>
        <w:rFonts w:ascii="Times New Roman" w:hAnsi="Times New Roman" w:eastAsia="Times New Roman" w:cs="Times New Roman"/>
        <w:sz w:val="18"/>
        <w:szCs w:val="18"/>
      </w:rPr>
    </w:pPr>
    <w:r>
      <w:rPr>
        <w:sz w:val="18"/>
      </w:rPr>
      <w:pict>
        <v:shape id="_x0000_s2104" o:spid="_x0000_s210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69"/>
      <w:rPr>
        <w:rFonts w:ascii="Times New Roman" w:hAnsi="Times New Roman" w:eastAsia="Times New Roman" w:cs="Times New Roman"/>
        <w:sz w:val="18"/>
        <w:szCs w:val="18"/>
      </w:rPr>
    </w:pPr>
    <w:r>
      <w:rPr>
        <w:sz w:val="18"/>
      </w:rPr>
      <w:pict>
        <v:shape id="_x0000_s2103" o:spid="_x0000_s210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249DA"/>
    <w:multiLevelType w:val="singleLevel"/>
    <w:tmpl w:val="850249DA"/>
    <w:lvl w:ilvl="0" w:tentative="0">
      <w:start w:val="6"/>
      <w:numFmt w:val="chineseCounting"/>
      <w:suff w:val="nothing"/>
      <w:lvlText w:val="%1、"/>
      <w:lvlJc w:val="left"/>
      <w:rPr>
        <w:rFonts w:hint="eastAsia"/>
      </w:rPr>
    </w:lvl>
  </w:abstractNum>
  <w:abstractNum w:abstractNumId="1">
    <w:nsid w:val="8D98CF33"/>
    <w:multiLevelType w:val="singleLevel"/>
    <w:tmpl w:val="8D98CF33"/>
    <w:lvl w:ilvl="0" w:tentative="0">
      <w:start w:val="1"/>
      <w:numFmt w:val="bullet"/>
      <w:lvlText w:val=""/>
      <w:lvlJc w:val="left"/>
      <w:pPr>
        <w:ind w:left="420" w:hanging="420"/>
      </w:pPr>
      <w:rPr>
        <w:rFonts w:hint="default" w:ascii="Wingdings" w:hAnsi="Wingdings"/>
      </w:rPr>
    </w:lvl>
  </w:abstractNum>
  <w:abstractNum w:abstractNumId="2">
    <w:nsid w:val="A613780D"/>
    <w:multiLevelType w:val="singleLevel"/>
    <w:tmpl w:val="A613780D"/>
    <w:lvl w:ilvl="0" w:tentative="0">
      <w:start w:val="5"/>
      <w:numFmt w:val="chineseCounting"/>
      <w:suff w:val="nothing"/>
      <w:lvlText w:val="%1、"/>
      <w:lvlJc w:val="left"/>
      <w:rPr>
        <w:rFonts w:hint="eastAsia"/>
      </w:rPr>
    </w:lvl>
  </w:abstractNum>
  <w:abstractNum w:abstractNumId="3">
    <w:nsid w:val="4DB75EFE"/>
    <w:multiLevelType w:val="singleLevel"/>
    <w:tmpl w:val="4DB75EFE"/>
    <w:lvl w:ilvl="0" w:tentative="0">
      <w:start w:val="3"/>
      <w:numFmt w:val="chineseCounting"/>
      <w:suff w:val="nothing"/>
      <w:lvlText w:val="（%1）"/>
      <w:lvlJc w:val="left"/>
      <w:rPr>
        <w:rFonts w:hint="eastAsia"/>
      </w:rPr>
    </w:lvl>
  </w:abstractNum>
  <w:abstractNum w:abstractNumId="4">
    <w:nsid w:val="7046E7CD"/>
    <w:multiLevelType w:val="singleLevel"/>
    <w:tmpl w:val="7046E7CD"/>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1"/>
  <w:bordersDoNotSurroundFooter w:val="1"/>
  <w:hideSpellingErrors/>
  <w:trackRevisions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jI5MWMwNmUwZjUzMjZlZjJlZTdmNWY3Mzk4ZWZiYTYifQ=="/>
  </w:docVars>
  <w:rsids>
    <w:rsidRoot w:val="00A922EB"/>
    <w:rsid w:val="002E6413"/>
    <w:rsid w:val="00426471"/>
    <w:rsid w:val="004D0354"/>
    <w:rsid w:val="004E1509"/>
    <w:rsid w:val="0051753A"/>
    <w:rsid w:val="00553A1D"/>
    <w:rsid w:val="00600EF0"/>
    <w:rsid w:val="00847A9B"/>
    <w:rsid w:val="00921920"/>
    <w:rsid w:val="009F483B"/>
    <w:rsid w:val="00A922EB"/>
    <w:rsid w:val="00AE151A"/>
    <w:rsid w:val="00B05D60"/>
    <w:rsid w:val="00B12CE0"/>
    <w:rsid w:val="00BE45D9"/>
    <w:rsid w:val="00E53F02"/>
    <w:rsid w:val="00F5669B"/>
    <w:rsid w:val="04463A6A"/>
    <w:rsid w:val="04C05C98"/>
    <w:rsid w:val="05E81670"/>
    <w:rsid w:val="0DC785B7"/>
    <w:rsid w:val="0FC14530"/>
    <w:rsid w:val="11462512"/>
    <w:rsid w:val="11480BE9"/>
    <w:rsid w:val="197D7D98"/>
    <w:rsid w:val="21852DA4"/>
    <w:rsid w:val="22C363A5"/>
    <w:rsid w:val="251F7F55"/>
    <w:rsid w:val="26F6BC78"/>
    <w:rsid w:val="2CCC54A8"/>
    <w:rsid w:val="2DB44390"/>
    <w:rsid w:val="31AB1C3E"/>
    <w:rsid w:val="34DF38AB"/>
    <w:rsid w:val="356607B7"/>
    <w:rsid w:val="368323C5"/>
    <w:rsid w:val="3AFE01B5"/>
    <w:rsid w:val="3AFE1F63"/>
    <w:rsid w:val="3BBC2BA4"/>
    <w:rsid w:val="3BBE40A7"/>
    <w:rsid w:val="3FEF981E"/>
    <w:rsid w:val="41AD56DF"/>
    <w:rsid w:val="458712AE"/>
    <w:rsid w:val="4846741F"/>
    <w:rsid w:val="4AE94818"/>
    <w:rsid w:val="4AFF5038"/>
    <w:rsid w:val="4D2148A5"/>
    <w:rsid w:val="4ECB72CC"/>
    <w:rsid w:val="5119029F"/>
    <w:rsid w:val="52FFEF25"/>
    <w:rsid w:val="59241480"/>
    <w:rsid w:val="5A3B56B7"/>
    <w:rsid w:val="5C2D3256"/>
    <w:rsid w:val="5D214265"/>
    <w:rsid w:val="5E9B5041"/>
    <w:rsid w:val="5EB87D41"/>
    <w:rsid w:val="5F7BCCF6"/>
    <w:rsid w:val="5F8B4D96"/>
    <w:rsid w:val="5FE6E2F8"/>
    <w:rsid w:val="61696CFA"/>
    <w:rsid w:val="634C3904"/>
    <w:rsid w:val="63FC8C07"/>
    <w:rsid w:val="6DB94018"/>
    <w:rsid w:val="6FDD6B65"/>
    <w:rsid w:val="6FE7686E"/>
    <w:rsid w:val="709C26FD"/>
    <w:rsid w:val="75DD9DF7"/>
    <w:rsid w:val="75F761A4"/>
    <w:rsid w:val="76EBD43C"/>
    <w:rsid w:val="77106CCA"/>
    <w:rsid w:val="77FEBE05"/>
    <w:rsid w:val="783F715E"/>
    <w:rsid w:val="7B67C294"/>
    <w:rsid w:val="7C8564D5"/>
    <w:rsid w:val="7D305ACC"/>
    <w:rsid w:val="7E7DA2C2"/>
    <w:rsid w:val="7EF76E9F"/>
    <w:rsid w:val="7EFB3384"/>
    <w:rsid w:val="7F5E87E2"/>
    <w:rsid w:val="7F5FFC09"/>
    <w:rsid w:val="7FFF785A"/>
    <w:rsid w:val="7FFFCFAC"/>
    <w:rsid w:val="85AF5F00"/>
    <w:rsid w:val="99FDF6DD"/>
    <w:rsid w:val="AFDE6A12"/>
    <w:rsid w:val="B7DF313D"/>
    <w:rsid w:val="BABF9F3F"/>
    <w:rsid w:val="BFFE6EFE"/>
    <w:rsid w:val="C75B883D"/>
    <w:rsid w:val="C7758C1B"/>
    <w:rsid w:val="CFD7C1C0"/>
    <w:rsid w:val="D9DF6E66"/>
    <w:rsid w:val="DF6652E9"/>
    <w:rsid w:val="EBFD76E0"/>
    <w:rsid w:val="F6D94A3F"/>
    <w:rsid w:val="F7FD4B3F"/>
    <w:rsid w:val="FD9D880C"/>
    <w:rsid w:val="FFFCC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9"/>
      <w:szCs w:val="19"/>
    </w:rPr>
  </w:style>
  <w:style w:type="character" w:customStyle="1" w:styleId="9">
    <w:name w:val="font21"/>
    <w:basedOn w:val="6"/>
    <w:qFormat/>
    <w:uiPriority w:val="0"/>
    <w:rPr>
      <w:rFonts w:hint="eastAsia" w:ascii="仿宋_GB2312" w:eastAsia="仿宋_GB2312" w:cs="仿宋_GB2312"/>
      <w:b/>
      <w:bCs/>
      <w:color w:val="000000"/>
      <w:sz w:val="24"/>
      <w:szCs w:val="24"/>
      <w:u w:val="none"/>
    </w:rPr>
  </w:style>
  <w:style w:type="character" w:customStyle="1" w:styleId="10">
    <w:name w:val="font91"/>
    <w:basedOn w:val="6"/>
    <w:qFormat/>
    <w:uiPriority w:val="0"/>
    <w:rPr>
      <w:rFonts w:ascii="Arial" w:hAnsi="Arial" w:cs="Arial"/>
      <w:b/>
      <w:bCs/>
      <w:color w:val="000000"/>
      <w:sz w:val="24"/>
      <w:szCs w:val="24"/>
      <w:u w:val="none"/>
    </w:rPr>
  </w:style>
  <w:style w:type="character" w:customStyle="1" w:styleId="11">
    <w:name w:val="font31"/>
    <w:basedOn w:val="6"/>
    <w:qFormat/>
    <w:uiPriority w:val="0"/>
    <w:rPr>
      <w:rFonts w:hint="eastAsia" w:ascii="仿宋_GB2312" w:eastAsia="仿宋_GB2312" w:cs="仿宋_GB2312"/>
      <w:color w:val="000000"/>
      <w:sz w:val="24"/>
      <w:szCs w:val="24"/>
      <w:u w:val="none"/>
    </w:rPr>
  </w:style>
  <w:style w:type="character" w:customStyle="1" w:styleId="12">
    <w:name w:val="font101"/>
    <w:basedOn w:val="6"/>
    <w:qFormat/>
    <w:uiPriority w:val="0"/>
    <w:rPr>
      <w:rFonts w:hint="eastAsia" w:ascii="仿宋_GB2312" w:eastAsia="仿宋_GB2312" w:cs="仿宋_GB2312"/>
      <w:color w:val="000000"/>
      <w:sz w:val="24"/>
      <w:szCs w:val="24"/>
      <w:u w:val="none"/>
    </w:rPr>
  </w:style>
  <w:style w:type="character" w:customStyle="1" w:styleId="13">
    <w:name w:val="font41"/>
    <w:basedOn w:val="6"/>
    <w:qFormat/>
    <w:uiPriority w:val="0"/>
    <w:rPr>
      <w:rFonts w:hint="eastAsia" w:ascii="仿宋_GB2312" w:eastAsia="仿宋_GB2312" w:cs="仿宋_GB2312"/>
      <w:color w:val="FF0000"/>
      <w:sz w:val="24"/>
      <w:szCs w:val="24"/>
      <w:u w:val="none"/>
    </w:rPr>
  </w:style>
  <w:style w:type="character" w:customStyle="1" w:styleId="14">
    <w:name w:val="font112"/>
    <w:basedOn w:val="6"/>
    <w:qFormat/>
    <w:uiPriority w:val="0"/>
    <w:rPr>
      <w:rFonts w:hint="default" w:ascii="Arial" w:hAnsi="Arial" w:cs="Arial"/>
      <w:color w:val="000000"/>
      <w:sz w:val="24"/>
      <w:szCs w:val="24"/>
      <w:u w:val="none"/>
    </w:rPr>
  </w:style>
  <w:style w:type="character" w:customStyle="1" w:styleId="15">
    <w:name w:val="font11"/>
    <w:basedOn w:val="6"/>
    <w:qFormat/>
    <w:uiPriority w:val="0"/>
    <w:rPr>
      <w:rFonts w:hint="eastAsia" w:ascii="仿宋_GB2312" w:eastAsia="仿宋_GB2312" w:cs="仿宋_GB2312"/>
      <w:color w:val="000000"/>
      <w:sz w:val="24"/>
      <w:szCs w:val="24"/>
      <w:u w:val="none"/>
    </w:rPr>
  </w:style>
  <w:style w:type="character" w:customStyle="1" w:styleId="16">
    <w:name w:val="font61"/>
    <w:basedOn w:val="6"/>
    <w:qFormat/>
    <w:uiPriority w:val="0"/>
    <w:rPr>
      <w:rFonts w:hint="eastAsia" w:ascii="仿宋_GB2312" w:eastAsia="仿宋_GB2312" w:cs="仿宋_GB2312"/>
      <w:b/>
      <w:bCs/>
      <w:color w:val="FF0000"/>
      <w:sz w:val="24"/>
      <w:szCs w:val="24"/>
      <w:u w:val="none"/>
    </w:rPr>
  </w:style>
  <w:style w:type="character" w:customStyle="1" w:styleId="17">
    <w:name w:val="font121"/>
    <w:basedOn w:val="6"/>
    <w:qFormat/>
    <w:uiPriority w:val="0"/>
    <w:rPr>
      <w:rFonts w:hint="default" w:ascii="Times New Roman" w:hAnsi="Times New Roman" w:cs="Times New Roman"/>
      <w:color w:val="000000"/>
      <w:sz w:val="24"/>
      <w:szCs w:val="24"/>
      <w:u w:val="none"/>
    </w:rPr>
  </w:style>
  <w:style w:type="character" w:customStyle="1" w:styleId="18">
    <w:name w:val="font131"/>
    <w:basedOn w:val="6"/>
    <w:qFormat/>
    <w:uiPriority w:val="0"/>
    <w:rPr>
      <w:rFonts w:hint="default" w:ascii="Arial" w:hAnsi="Arial" w:cs="Arial"/>
      <w:color w:val="FF0000"/>
      <w:sz w:val="24"/>
      <w:szCs w:val="24"/>
      <w:u w:val="none"/>
    </w:rPr>
  </w:style>
  <w:style w:type="character" w:customStyle="1" w:styleId="19">
    <w:name w:val="font141"/>
    <w:basedOn w:val="6"/>
    <w:qFormat/>
    <w:uiPriority w:val="0"/>
    <w:rPr>
      <w:rFonts w:hint="eastAsia" w:ascii="仿宋_GB2312" w:eastAsia="仿宋_GB2312" w:cs="仿宋_GB2312"/>
      <w:color w:val="FF0000"/>
      <w:sz w:val="24"/>
      <w:szCs w:val="24"/>
      <w:u w:val="none"/>
    </w:rPr>
  </w:style>
  <w:style w:type="character" w:customStyle="1" w:styleId="20">
    <w:name w:val="font81"/>
    <w:basedOn w:val="6"/>
    <w:qFormat/>
    <w:uiPriority w:val="0"/>
    <w:rPr>
      <w:rFonts w:hint="eastAsia" w:ascii="仿宋_GB2312" w:eastAsia="仿宋_GB2312" w:cs="仿宋_GB2312"/>
      <w:b/>
      <w:bCs/>
      <w:color w:val="C00000"/>
      <w:sz w:val="24"/>
      <w:szCs w:val="24"/>
      <w:u w:val="none"/>
    </w:rPr>
  </w:style>
  <w:style w:type="character" w:customStyle="1" w:styleId="21">
    <w:name w:val="font151"/>
    <w:basedOn w:val="6"/>
    <w:qFormat/>
    <w:uiPriority w:val="0"/>
    <w:rPr>
      <w:rFonts w:hint="default" w:ascii="Arial" w:hAnsi="Arial" w:cs="Arial"/>
      <w:b/>
      <w:bCs/>
      <w:color w:val="FF0000"/>
      <w:sz w:val="24"/>
      <w:szCs w:val="24"/>
      <w:u w:val="none"/>
    </w:rPr>
  </w:style>
  <w:style w:type="character" w:customStyle="1" w:styleId="22">
    <w:name w:val="font51"/>
    <w:basedOn w:val="6"/>
    <w:qFormat/>
    <w:uiPriority w:val="0"/>
    <w:rPr>
      <w:rFonts w:hint="default" w:ascii="仿宋_GB2312" w:eastAsia="仿宋_GB2312" w:cs="仿宋_GB2312"/>
      <w:color w:val="FF0000"/>
      <w:sz w:val="24"/>
      <w:szCs w:val="24"/>
      <w:u w:val="none"/>
    </w:rPr>
  </w:style>
  <w:style w:type="character" w:customStyle="1" w:styleId="23">
    <w:name w:val="font71"/>
    <w:basedOn w:val="6"/>
    <w:qFormat/>
    <w:uiPriority w:val="0"/>
    <w:rPr>
      <w:rFonts w:hint="default" w:ascii="仿宋_GB2312" w:eastAsia="仿宋_GB2312" w:cs="仿宋_GB2312"/>
      <w:b/>
      <w:bCs/>
      <w:color w:val="C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theme" Target="theme/theme1.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178</Pages>
  <Words>27011</Words>
  <Characters>153968</Characters>
  <Lines>1283</Lines>
  <Paragraphs>361</Paragraphs>
  <TotalTime>44</TotalTime>
  <ScaleCrop>false</ScaleCrop>
  <LinksUpToDate>false</LinksUpToDate>
  <CharactersWithSpaces>180618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2024-02-05T14:08:00Z</dcterms:created>
  <dc:creator>PC</dc:creator>
  <cp:lastModifiedBy>曹诗丹</cp:lastModifiedBy>
  <cp:lastPrinted>2024-08-30T10:18:00Z</cp:lastPrinted>
  <dcterms:modified xsi:type="dcterms:W3CDTF">2024-09-04T12:54:27Z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2024-05-18T22:07:40Z</vt:filetime>
  </property>
  <property fmtid="{D5CDD505-2E9C-101B-9397-08002B2CF9AE}" pid="4" name="KSOProductBuildVer">
    <vt:lpwstr>2052-11.8.2.11929</vt:lpwstr>
  </property>
  <property fmtid="{D5CDD505-2E9C-101B-9397-08002B2CF9AE}" pid="5" name="ICV">
    <vt:lpwstr>ADDCAD77E183A1705ED5D666E73ACEB6</vt:lpwstr>
  </property>
</Properties>
</file>