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16"/>
        </w:rPr>
      </w:pPr>
    </w:p>
    <w:p>
      <w:pPr>
        <w:pStyle w:val="2"/>
        <w:tabs>
          <w:tab w:val="left" w:pos="5999"/>
        </w:tabs>
        <w:spacing w:before="64"/>
        <w:ind w:right="173"/>
        <w:jc w:val="center"/>
      </w:pPr>
      <w:r>
        <w:rPr>
          <w:rFonts w:hint="eastAsia" w:ascii="黑体" w:eastAsia="黑体"/>
          <w:spacing w:val="-3"/>
        </w:rPr>
        <w:t>加</w:t>
      </w:r>
      <w:r>
        <w:rPr>
          <w:rFonts w:hint="eastAsia" w:ascii="黑体" w:eastAsia="黑体"/>
        </w:rPr>
        <w:t>急</w:t>
      </w:r>
      <w:r>
        <w:rPr>
          <w:rFonts w:hint="eastAsia" w:ascii="黑体" w:eastAsia="黑体"/>
        </w:rPr>
        <w:tab/>
      </w:r>
      <w:r>
        <w:rPr>
          <w:spacing w:val="-3"/>
        </w:rPr>
        <w:t>粤</w:t>
      </w:r>
      <w:r>
        <w:rPr>
          <w:spacing w:val="-5"/>
        </w:rPr>
        <w:t>卫</w:t>
      </w:r>
      <w:r>
        <w:rPr>
          <w:spacing w:val="-36"/>
        </w:rPr>
        <w:t>函</w:t>
      </w:r>
      <w:r>
        <w:rPr>
          <w:spacing w:val="-3"/>
        </w:rPr>
        <w:t>〔</w:t>
      </w:r>
      <w:r>
        <w:rPr>
          <w:rFonts w:ascii="Times New Roman" w:eastAsia="Times New Roman"/>
          <w:spacing w:val="-3"/>
        </w:rPr>
        <w:t>2021</w:t>
      </w:r>
      <w:r>
        <w:rPr>
          <w:spacing w:val="-36"/>
        </w:rPr>
        <w:t>〕</w:t>
      </w:r>
      <w:r>
        <w:rPr>
          <w:rFonts w:ascii="Times New Roman" w:eastAsia="Times New Roman"/>
          <w:spacing w:val="-6"/>
        </w:rPr>
        <w:t>11</w:t>
      </w:r>
      <w:r>
        <w:t>号</w:t>
      </w:r>
    </w:p>
    <w:p>
      <w:pPr>
        <w:pStyle w:val="2"/>
        <w:rPr>
          <w:sz w:val="34"/>
        </w:rPr>
      </w:pPr>
    </w:p>
    <w:p>
      <w:pPr>
        <w:spacing w:before="232" w:line="216" w:lineRule="auto"/>
        <w:ind w:left="1488" w:right="1652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w w:val="95"/>
          <w:sz w:val="44"/>
        </w:rPr>
        <w:t>广东省卫生健康委关于切实维护</w:t>
      </w:r>
      <w:r>
        <w:rPr>
          <w:rFonts w:hint="eastAsia" w:ascii="方正小标宋简体" w:eastAsia="方正小标宋简体"/>
          <w:sz w:val="44"/>
        </w:rPr>
        <w:t>一线医务人员身心健康的通知</w:t>
      </w:r>
    </w:p>
    <w:p>
      <w:pPr>
        <w:pStyle w:val="2"/>
        <w:spacing w:before="16"/>
        <w:rPr>
          <w:rFonts w:ascii="方正小标宋简体"/>
          <w:sz w:val="33"/>
        </w:rPr>
      </w:pPr>
    </w:p>
    <w:p>
      <w:pPr>
        <w:pStyle w:val="2"/>
        <w:spacing w:before="1" w:line="326" w:lineRule="auto"/>
        <w:ind w:left="111" w:right="104"/>
      </w:pPr>
      <w:r>
        <w:rPr>
          <w:spacing w:val="-3"/>
          <w:w w:val="95"/>
        </w:rPr>
        <w:t>各地级以上市卫生健康局（</w:t>
      </w:r>
      <w:r>
        <w:rPr>
          <w:spacing w:val="-5"/>
          <w:w w:val="95"/>
        </w:rPr>
        <w:t>委</w:t>
      </w:r>
      <w:r>
        <w:rPr>
          <w:spacing w:val="-159"/>
          <w:w w:val="95"/>
        </w:rPr>
        <w:t>）</w:t>
      </w:r>
      <w:r>
        <w:rPr>
          <w:spacing w:val="-4"/>
          <w:w w:val="95"/>
        </w:rPr>
        <w:t>、部属省属医药院校及附属医院、</w:t>
      </w:r>
      <w:r>
        <w:rPr>
          <w:spacing w:val="-5"/>
        </w:rPr>
        <w:t>委直属各单位：</w:t>
      </w:r>
    </w:p>
    <w:p>
      <w:pPr>
        <w:pStyle w:val="2"/>
        <w:spacing w:before="5" w:line="328" w:lineRule="auto"/>
        <w:ind w:left="111" w:right="104" w:firstLine="631"/>
      </w:pPr>
      <w:r>
        <w:rPr>
          <w:spacing w:val="-3"/>
        </w:rPr>
        <w:t>医务人员</w:t>
      </w:r>
      <w:r>
        <w:rPr>
          <w:rFonts w:hint="eastAsia"/>
          <w:spacing w:val="-3"/>
          <w:lang w:eastAsia="zh-CN"/>
        </w:rPr>
        <w:t>（</w:t>
      </w:r>
      <w:r>
        <w:rPr>
          <w:spacing w:val="-4"/>
        </w:rPr>
        <w:t>包括从事临床救治、病例转运、流调溯源、核酸采样、实验室检测、疫苗接种等医疗卫生机构人员</w:t>
      </w:r>
      <w:r>
        <w:rPr>
          <w:rFonts w:hint="eastAsia"/>
          <w:spacing w:val="-3"/>
          <w:lang w:eastAsia="zh-CN"/>
        </w:rPr>
        <w:t>）</w:t>
      </w:r>
      <w:r>
        <w:rPr>
          <w:spacing w:val="-3"/>
        </w:rPr>
        <w:t>是战胜疫情</w:t>
      </w:r>
      <w:r>
        <w:rPr>
          <w:spacing w:val="-4"/>
        </w:rPr>
        <w:t>的中坚力量，是人民健康和生命安全的守护者。全省广大医务人员牢记习近平总书记殷殷嘱托，挺身而出、冲锋在前，不畏困难</w:t>
      </w:r>
      <w:r>
        <w:rPr>
          <w:spacing w:val="-22"/>
          <w:w w:val="95"/>
        </w:rPr>
        <w:t>和风险，舍小家为大家，夜以继日奋战在疫情防控第一线，以</w:t>
      </w:r>
      <w:r>
        <w:rPr>
          <w:rFonts w:hint="eastAsia"/>
          <w:spacing w:val="-22"/>
          <w:w w:val="95"/>
          <w:lang w:eastAsia="zh-CN"/>
        </w:rPr>
        <w:t>“</w:t>
      </w:r>
      <w:r>
        <w:rPr>
          <w:spacing w:val="-2"/>
          <w:w w:val="95"/>
        </w:rPr>
        <w:t>快、</w:t>
      </w:r>
      <w:r>
        <w:rPr>
          <w:spacing w:val="-26"/>
        </w:rPr>
        <w:t>严、实</w:t>
      </w:r>
      <w:r>
        <w:rPr>
          <w:rFonts w:hint="eastAsia" w:ascii="Times New Roman" w:hAnsi="Times New Roman" w:eastAsia="宋体"/>
          <w:spacing w:val="-3"/>
          <w:lang w:eastAsia="zh-CN"/>
        </w:rPr>
        <w:t>”</w:t>
      </w:r>
      <w:r>
        <w:rPr>
          <w:spacing w:val="-8"/>
        </w:rPr>
        <w:t>的硬措施坚决遏制疫情扩散蔓延，用心血和汗水守护人民</w:t>
      </w:r>
      <w:r>
        <w:rPr>
          <w:spacing w:val="-4"/>
        </w:rPr>
        <w:t>群众生命安全和身体健康，充分彰显了伟大抗疫精神和广东医生精神。为贯彻落实党中央、国务院决策部署和省委、省政府工作要求，切实维护一线医务人员身心健康，做到统筹兼顾，劳逸结合，为全力打好打赢疫情防控这场硬仗提供有力保障，现将有关</w:t>
      </w:r>
      <w:r>
        <w:rPr>
          <w:spacing w:val="-5"/>
        </w:rPr>
        <w:t>要求通知如下：</w:t>
      </w:r>
    </w:p>
    <w:p>
      <w:pPr>
        <w:pStyle w:val="2"/>
        <w:spacing w:line="390" w:lineRule="exact"/>
        <w:ind w:left="742"/>
        <w:rPr>
          <w:rFonts w:hint="eastAsia" w:ascii="黑体" w:eastAsia="黑体"/>
        </w:rPr>
      </w:pPr>
      <w:r>
        <w:rPr>
          <w:rFonts w:hint="eastAsia" w:ascii="黑体" w:eastAsia="黑体"/>
        </w:rPr>
        <w:t>一、加强责任意识，确保工作实效</w:t>
      </w:r>
    </w:p>
    <w:p>
      <w:pPr>
        <w:pStyle w:val="2"/>
        <w:spacing w:before="152"/>
        <w:ind w:left="742"/>
      </w:pPr>
      <w:r>
        <w:t>目前我省广州、深圳本土疫情防控已进入攻坚阶段，切实维</w:t>
      </w:r>
    </w:p>
    <w:p>
      <w:pPr>
        <w:spacing w:after="0"/>
        <w:sectPr>
          <w:type w:val="continuous"/>
          <w:pgSz w:w="11910" w:h="16840"/>
          <w:pgMar w:top="1360" w:right="1240" w:bottom="280" w:left="142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0"/>
        </w:rPr>
      </w:pPr>
    </w:p>
    <w:p>
      <w:pPr>
        <w:pStyle w:val="2"/>
        <w:spacing w:before="54" w:line="328" w:lineRule="auto"/>
        <w:ind w:left="111" w:right="104"/>
      </w:pPr>
      <w:r>
        <w:rPr>
          <w:spacing w:val="-4"/>
        </w:rPr>
        <w:t>护一线医务人员身心健康，使医务人员能够精力充沛投入疫情防</w:t>
      </w:r>
      <w:r>
        <w:rPr>
          <w:spacing w:val="-17"/>
          <w:w w:val="95"/>
        </w:rPr>
        <w:t>控、医疗救治工作至关重要。各地卫生健康行政部门要高度负责、</w:t>
      </w:r>
      <w:r>
        <w:rPr>
          <w:spacing w:val="-5"/>
        </w:rPr>
        <w:t>多措并举，督促指导辖内医疗卫生机构加大支持保障力度，确保各项关心爱护医务人员的保障措施落实到位。</w:t>
      </w:r>
    </w:p>
    <w:p>
      <w:pPr>
        <w:pStyle w:val="2"/>
        <w:spacing w:line="402" w:lineRule="exact"/>
        <w:ind w:left="742"/>
        <w:rPr>
          <w:rFonts w:hint="eastAsia" w:ascii="黑体" w:eastAsia="黑体"/>
        </w:rPr>
      </w:pPr>
      <w:r>
        <w:rPr>
          <w:rFonts w:hint="eastAsia" w:ascii="黑体" w:eastAsia="黑体"/>
        </w:rPr>
        <w:t>二、加强统筹兼顾，保证必要休整</w:t>
      </w:r>
    </w:p>
    <w:p>
      <w:pPr>
        <w:pStyle w:val="2"/>
        <w:spacing w:before="152" w:line="328" w:lineRule="auto"/>
        <w:ind w:left="111" w:right="104" w:firstLine="631"/>
      </w:pPr>
      <w:r>
        <w:rPr>
          <w:spacing w:val="8"/>
        </w:rPr>
        <w:t>医疗卫生机构要结合实际情况建立疫情防控期间一线医务</w:t>
      </w:r>
      <w:r>
        <w:rPr>
          <w:spacing w:val="-3"/>
        </w:rPr>
        <w:t>人员调配制度，结合岗位特点和工作强度，合理设置工作岗位，</w:t>
      </w:r>
      <w:r>
        <w:rPr>
          <w:spacing w:val="-17"/>
          <w:w w:val="95"/>
        </w:rPr>
        <w:t>配备医务人员，科学安排班次。在不影响正常防控工作的前提下，</w:t>
      </w:r>
      <w:r>
        <w:rPr>
          <w:spacing w:val="-4"/>
        </w:rPr>
        <w:t>统筹安排一线医务人员轮休调休补休，保证一线医务人员及时得到必要休整。对较长时间超负荷工作的医务人员，必要时要强制</w:t>
      </w:r>
      <w:r>
        <w:rPr>
          <w:spacing w:val="-3"/>
        </w:rPr>
        <w:t>休息。</w:t>
      </w:r>
    </w:p>
    <w:p>
      <w:pPr>
        <w:pStyle w:val="2"/>
        <w:spacing w:line="400" w:lineRule="exact"/>
        <w:ind w:left="742"/>
        <w:rPr>
          <w:rFonts w:hint="eastAsia" w:ascii="黑体" w:eastAsia="黑体"/>
        </w:rPr>
      </w:pPr>
      <w:r>
        <w:rPr>
          <w:rFonts w:hint="eastAsia" w:ascii="黑体" w:eastAsia="黑体"/>
        </w:rPr>
        <w:t>三、加强生活服务，做好后勤保障</w:t>
      </w:r>
    </w:p>
    <w:p>
      <w:pPr>
        <w:pStyle w:val="2"/>
        <w:spacing w:before="149" w:line="328" w:lineRule="auto"/>
        <w:ind w:left="111" w:right="262" w:firstLine="631"/>
        <w:jc w:val="both"/>
      </w:pPr>
      <w:r>
        <w:rPr>
          <w:spacing w:val="-4"/>
          <w:w w:val="95"/>
        </w:rPr>
        <w:t>广泛动员社会力量，充分整合资源，用心用情加强一线医务人员的生活服务、后勤保障和健康监测。为一线医务人员提供良好的休息场所、基础性疾病药物、卫生用品以及干净、营养、便捷的就餐服务，按要求做好健康监测，扎实做好住宿、防暑、用</w:t>
      </w:r>
      <w:r>
        <w:rPr>
          <w:spacing w:val="-5"/>
        </w:rPr>
        <w:t>餐、交通等后勤保障服务。</w:t>
      </w:r>
    </w:p>
    <w:p>
      <w:pPr>
        <w:pStyle w:val="2"/>
        <w:spacing w:line="402" w:lineRule="exact"/>
        <w:ind w:left="742"/>
        <w:rPr>
          <w:rFonts w:hint="eastAsia" w:ascii="黑体" w:eastAsia="黑体"/>
        </w:rPr>
      </w:pPr>
      <w:r>
        <w:rPr>
          <w:rFonts w:hint="eastAsia" w:ascii="黑体" w:eastAsia="黑体"/>
        </w:rPr>
        <w:t>四、加强心理干预，做好心理疏导</w:t>
      </w:r>
    </w:p>
    <w:p>
      <w:pPr>
        <w:pStyle w:val="2"/>
        <w:spacing w:before="149"/>
        <w:ind w:left="742"/>
        <w:jc w:val="both"/>
      </w:pPr>
      <w:r>
        <w:rPr>
          <w:spacing w:val="-9"/>
        </w:rPr>
        <w:t>加强一线医务人员心理干预和疏导，通过</w:t>
      </w:r>
      <w:r>
        <w:rPr>
          <w:rFonts w:ascii="Times New Roman" w:eastAsia="Times New Roman"/>
        </w:rPr>
        <w:t>12320</w:t>
      </w:r>
      <w:r>
        <w:rPr>
          <w:spacing w:val="-3"/>
        </w:rPr>
        <w:t>卫生热线、</w:t>
      </w:r>
    </w:p>
    <w:p>
      <w:pPr>
        <w:pStyle w:val="2"/>
        <w:spacing w:before="149" w:line="328" w:lineRule="auto"/>
        <w:ind w:right="260"/>
        <w:jc w:val="both"/>
        <w:rPr>
          <w:sz w:val="28"/>
        </w:rPr>
        <w:sectPr>
          <w:pgSz w:w="11910" w:h="16840"/>
          <w:pgMar w:top="1580" w:right="1240" w:bottom="280" w:left="1420" w:header="720" w:footer="720" w:gutter="0"/>
          <w:cols w:space="720" w:num="1"/>
        </w:sectPr>
      </w:pPr>
      <w:r>
        <w:rPr>
          <w:rFonts w:ascii="Times New Roman" w:eastAsia="Times New Roman"/>
        </w:rPr>
        <w:t>12351</w:t>
      </w:r>
      <w:r>
        <w:rPr>
          <w:spacing w:val="5"/>
        </w:rPr>
        <w:t>职工热线、</w:t>
      </w:r>
      <w:r>
        <w:rPr>
          <w:rFonts w:ascii="Times New Roman" w:eastAsia="Times New Roman"/>
        </w:rPr>
        <w:t>12355</w:t>
      </w:r>
      <w:r>
        <w:rPr>
          <w:spacing w:val="3"/>
        </w:rPr>
        <w:t>青年之声等热线电话、网络平台，以及</w:t>
      </w:r>
      <w:r>
        <w:rPr>
          <w:spacing w:val="-4"/>
          <w:w w:val="95"/>
        </w:rPr>
        <w:t>精神卫生、心理健康、社会工作服务资源等线上线下多</w:t>
      </w:r>
      <w:bookmarkStart w:id="0" w:name="_GoBack"/>
      <w:bookmarkEnd w:id="0"/>
      <w:r>
        <w:rPr>
          <w:spacing w:val="-4"/>
          <w:w w:val="95"/>
        </w:rPr>
        <w:t>种方式，开展一线医务人员心理健康评估，及时采取心理援助措施，疏解</w:t>
      </w:r>
      <w:r>
        <w:rPr>
          <w:rFonts w:hint="eastAsia"/>
          <w:spacing w:val="-4"/>
          <w:w w:val="95"/>
        </w:rPr>
        <w:t>一线医务人员心理压力。</w:t>
      </w:r>
    </w:p>
    <w:p>
      <w:pPr>
        <w:pStyle w:val="2"/>
        <w:spacing w:before="149"/>
        <w:ind w:left="742"/>
        <w:rPr>
          <w:rFonts w:hint="eastAsia" w:ascii="黑体" w:eastAsia="黑体"/>
        </w:rPr>
      </w:pPr>
      <w:r>
        <w:rPr>
          <w:rFonts w:hint="eastAsia" w:ascii="黑体" w:eastAsia="黑体"/>
        </w:rPr>
        <w:t>五、做好人才储备，建立轮班机制</w:t>
      </w:r>
    </w:p>
    <w:p>
      <w:pPr>
        <w:pStyle w:val="2"/>
        <w:spacing w:before="152" w:line="328" w:lineRule="auto"/>
        <w:ind w:left="111" w:right="101" w:firstLine="631"/>
      </w:pPr>
      <w:r>
        <w:rPr>
          <w:spacing w:val="-13"/>
          <w:w w:val="95"/>
        </w:rPr>
        <w:t>各地要指导定点救治医院等重点机构、发热门诊等特殊科室，</w:t>
      </w:r>
      <w:r>
        <w:rPr>
          <w:spacing w:val="-4"/>
        </w:rPr>
        <w:t>流调溯源、核酸检测和疫苗接种等重点岗位，提前做好人才储备</w:t>
      </w:r>
      <w:r>
        <w:rPr>
          <w:spacing w:val="-17"/>
          <w:w w:val="95"/>
        </w:rPr>
        <w:t>工作，强化人员培训、考核机制，对参与新冠肺炎阳性病例转运、</w:t>
      </w:r>
      <w:r>
        <w:rPr>
          <w:spacing w:val="-4"/>
        </w:rPr>
        <w:t>救治人员和发热门诊工作人员以及从事流调、检测等人员，要实行定期轮班制度，减轻工作压力。对按要求需集中居住的工作人员，要创造良好的工作和生活条件，在住宿、用餐、交通等方面</w:t>
      </w:r>
      <w:r>
        <w:rPr>
          <w:spacing w:val="-5"/>
        </w:rPr>
        <w:t>做好服务保障，维护好医务人员身心健康。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34"/>
        </w:rPr>
      </w:pPr>
    </w:p>
    <w:p>
      <w:pPr>
        <w:pStyle w:val="2"/>
        <w:ind w:left="5180"/>
      </w:pPr>
      <w:r>
        <w:t>广东省卫生健康委</w:t>
      </w:r>
    </w:p>
    <w:p>
      <w:pPr>
        <w:pStyle w:val="2"/>
        <w:spacing w:before="150"/>
        <w:ind w:left="5300"/>
      </w:pPr>
      <w:r>
        <w:rPr>
          <w:rFonts w:ascii="Times New Roman" w:eastAsia="Times New Roman"/>
        </w:rPr>
        <w:t>2021</w:t>
      </w:r>
      <w:r>
        <w:t>年</w:t>
      </w:r>
      <w:r>
        <w:rPr>
          <w:rFonts w:ascii="Times New Roman" w:eastAsia="Times New Roman"/>
        </w:rPr>
        <w:t>6</w:t>
      </w:r>
      <w:r>
        <w:t>月</w:t>
      </w:r>
      <w:r>
        <w:rPr>
          <w:rFonts w:ascii="Times New Roman" w:eastAsia="Times New Roman"/>
        </w:rPr>
        <w:t>20</w:t>
      </w:r>
      <w: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7"/>
        </w:rPr>
      </w:pPr>
    </w:p>
    <w:p>
      <w:pPr>
        <w:pStyle w:val="2"/>
        <w:spacing w:before="55"/>
        <w:ind w:left="111"/>
      </w:pPr>
      <w:r>
        <w:rPr>
          <w:rFonts w:hint="eastAsia" w:ascii="黑体" w:eastAsia="黑体"/>
        </w:rPr>
        <w:t>公开方式：</w:t>
      </w:r>
      <w:r>
        <w:t>主动公开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5"/>
        </w:rPr>
      </w:pPr>
      <w:r>
        <w:pict>
          <v:line id="_x0000_s1032" o:spid="_x0000_s1032" o:spt="20" style="position:absolute;left:0pt;margin-left:76.55pt;margin-top:18.85pt;height:0pt;width:442.2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tabs>
          <w:tab w:val="left" w:pos="2631"/>
          <w:tab w:val="left" w:pos="7111"/>
        </w:tabs>
        <w:spacing w:before="139"/>
        <w:ind w:left="391" w:right="0" w:firstLine="0"/>
        <w:jc w:val="left"/>
        <w:rPr>
          <w:sz w:val="28"/>
        </w:rPr>
      </w:pPr>
      <w:r>
        <w:rPr>
          <w:sz w:val="28"/>
        </w:rPr>
        <w:t>校</w:t>
      </w:r>
      <w:r>
        <w:rPr>
          <w:spacing w:val="-3"/>
          <w:sz w:val="28"/>
        </w:rPr>
        <w:t>对</w:t>
      </w:r>
      <w:r>
        <w:rPr>
          <w:sz w:val="28"/>
        </w:rPr>
        <w:t>：机</w:t>
      </w:r>
      <w:r>
        <w:rPr>
          <w:spacing w:val="-3"/>
          <w:sz w:val="28"/>
        </w:rPr>
        <w:t>关</w:t>
      </w:r>
      <w:r>
        <w:rPr>
          <w:sz w:val="28"/>
        </w:rPr>
        <w:t>党委</w:t>
      </w:r>
      <w:r>
        <w:rPr>
          <w:sz w:val="28"/>
        </w:rPr>
        <w:tab/>
      </w:r>
      <w:r>
        <w:rPr>
          <w:sz w:val="28"/>
        </w:rPr>
        <w:t>何</w:t>
      </w:r>
      <w:r>
        <w:rPr>
          <w:spacing w:val="-3"/>
          <w:sz w:val="28"/>
        </w:rPr>
        <w:t>蕙</w:t>
      </w:r>
      <w:r>
        <w:rPr>
          <w:sz w:val="28"/>
        </w:rPr>
        <w:t>泾</w:t>
      </w:r>
      <w:r>
        <w:rPr>
          <w:sz w:val="28"/>
        </w:rPr>
        <w:tab/>
      </w:r>
      <w:r>
        <w:rPr>
          <w:sz w:val="28"/>
        </w:rPr>
        <w:t>（</w:t>
      </w:r>
      <w:r>
        <w:rPr>
          <w:spacing w:val="-3"/>
          <w:sz w:val="28"/>
        </w:rPr>
        <w:t>共</w:t>
      </w:r>
      <w:r>
        <w:rPr>
          <w:sz w:val="28"/>
        </w:rPr>
        <w:t>印</w:t>
      </w:r>
      <w:r>
        <w:rPr>
          <w:rFonts w:ascii="Times New Roman" w:eastAsia="Times New Roman"/>
          <w:sz w:val="28"/>
        </w:rPr>
        <w:t>6</w:t>
      </w:r>
      <w:r>
        <w:rPr>
          <w:sz w:val="28"/>
        </w:rPr>
        <w:t>份）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4762500</wp:posOffset>
            </wp:positionH>
            <wp:positionV relativeFrom="paragraph">
              <wp:posOffset>140335</wp:posOffset>
            </wp:positionV>
            <wp:extent cx="1923415" cy="647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68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right="124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B187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2021-06-25T01:58:00Z</dcterms:created>
  <dc:creator>张婉玲</dc:creator>
  <cp:lastModifiedBy>攀盗偬鞍未</cp:lastModifiedBy>
  <dcterms:modified xsi:type="dcterms:W3CDTF">2021-06-25T06:47:42Z</dcterms:modified>
  <dc:title>正文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2021-06-25T00:00:00Z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AFED2F94B6184DBA90F6FC9FAC8AAD3F</vt:lpwstr>
  </property>
</Properties>
</file>