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</w:pPr>
      <w:r>
        <w:t>附件</w:t>
      </w:r>
    </w:p>
    <w:p>
      <w:pPr>
        <w:adjustRightInd w:val="0"/>
        <w:snapToGrid w:val="0"/>
        <w:spacing w:line="6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2019年广州市无烟单位名单</w:t>
      </w:r>
    </w:p>
    <w:p>
      <w:pPr>
        <w:adjustRightInd w:val="0"/>
        <w:snapToGrid w:val="0"/>
        <w:spacing w:line="680" w:lineRule="exact"/>
        <w:jc w:val="center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（第二批）</w:t>
      </w:r>
    </w:p>
    <w:p>
      <w:pPr>
        <w:widowControl/>
        <w:tabs>
          <w:tab w:val="left" w:pos="2633"/>
        </w:tabs>
        <w:adjustRightInd w:val="0"/>
        <w:snapToGrid w:val="0"/>
        <w:spacing w:line="600" w:lineRule="exact"/>
        <w:ind w:firstLine="632" w:firstLineChars="200"/>
        <w:rPr>
          <w:rFonts w:eastAsia="黑体"/>
          <w:kern w:val="0"/>
        </w:rPr>
      </w:pPr>
    </w:p>
    <w:p>
      <w:pPr>
        <w:widowControl/>
        <w:tabs>
          <w:tab w:val="left" w:pos="2633"/>
        </w:tabs>
        <w:adjustRightInd w:val="0"/>
        <w:snapToGrid w:val="0"/>
        <w:spacing w:line="600" w:lineRule="exact"/>
        <w:ind w:firstLine="632" w:firstLineChars="200"/>
        <w:rPr>
          <w:rFonts w:eastAsia="黑体"/>
          <w:kern w:val="0"/>
        </w:rPr>
      </w:pPr>
      <w:r>
        <w:rPr>
          <w:rFonts w:eastAsia="黑体"/>
          <w:kern w:val="0"/>
        </w:rPr>
        <w:t>一、越秀区（</w:t>
      </w:r>
      <w:r>
        <w:rPr>
          <w:rFonts w:hint="eastAsia" w:eastAsia="黑体"/>
          <w:kern w:val="0"/>
        </w:rPr>
        <w:t>8</w:t>
      </w:r>
      <w:r>
        <w:rPr>
          <w:rFonts w:eastAsia="黑体"/>
          <w:kern w:val="0"/>
        </w:rPr>
        <w:t>个）</w:t>
      </w:r>
    </w:p>
    <w:p>
      <w:pPr>
        <w:widowControl/>
        <w:tabs>
          <w:tab w:val="left" w:pos="2633"/>
        </w:tabs>
        <w:adjustRightInd w:val="0"/>
        <w:snapToGrid w:val="0"/>
        <w:spacing w:line="600" w:lineRule="exact"/>
        <w:ind w:firstLine="632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广州王府井百货有限责任公司、广州市粮食局幼儿园、广州市消防支队越秀区大队东山中队、广州市越秀区黄花岗街御龙社区居民委员会、广州市越秀区人民政府登峰街道办事处、广州市越秀区大塘街德政中社区居民委员会、广州市越秀区北京街财厅前社区居民委员会、广东善缘社会工作服务中心（洪桥街社工服务站）</w:t>
      </w:r>
    </w:p>
    <w:p>
      <w:pPr>
        <w:widowControl/>
        <w:tabs>
          <w:tab w:val="left" w:pos="2633"/>
        </w:tabs>
        <w:adjustRightInd w:val="0"/>
        <w:snapToGrid w:val="0"/>
        <w:spacing w:line="600" w:lineRule="exact"/>
        <w:ind w:firstLine="632" w:firstLineChars="200"/>
        <w:rPr>
          <w:rFonts w:eastAsia="黑体"/>
          <w:kern w:val="0"/>
        </w:rPr>
      </w:pPr>
      <w:r>
        <w:rPr>
          <w:rFonts w:eastAsia="黑体"/>
          <w:kern w:val="0"/>
        </w:rPr>
        <w:t>二、海珠区（</w:t>
      </w:r>
      <w:r>
        <w:rPr>
          <w:rFonts w:hint="eastAsia" w:eastAsia="黑体"/>
          <w:kern w:val="0"/>
        </w:rPr>
        <w:t>13</w:t>
      </w:r>
      <w:r>
        <w:rPr>
          <w:rFonts w:eastAsia="黑体"/>
          <w:kern w:val="0"/>
        </w:rPr>
        <w:t>个）</w:t>
      </w:r>
    </w:p>
    <w:p>
      <w:pPr>
        <w:widowControl/>
        <w:tabs>
          <w:tab w:val="left" w:pos="2633"/>
        </w:tabs>
        <w:adjustRightInd w:val="0"/>
        <w:snapToGrid w:val="0"/>
        <w:spacing w:line="600" w:lineRule="exact"/>
        <w:ind w:firstLine="632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广州市广爱社会工作服务中心、广州市新光百货有限公司海珠分公司、海珠区滨江街江湾社区居委会、海珠区凤阳街润翠社区居委会、海珠区海幢街宝欣幼儿园、海珠区江海街坚真社区居委会、海珠区江南中街贵德东社区居委会、海珠区乐耕耘教育、海珠区南华西街福安社区居委会、海珠区南石头街轻机幼儿园、海珠区南洲街池滘社区居委会、海珠区瑞宝街锦绣名居社区居委会、海珠区素社街素社东社区居委会</w:t>
      </w:r>
    </w:p>
    <w:p>
      <w:pPr>
        <w:widowControl/>
        <w:tabs>
          <w:tab w:val="left" w:pos="2633"/>
        </w:tabs>
        <w:adjustRightInd w:val="0"/>
        <w:snapToGrid w:val="0"/>
        <w:spacing w:line="600" w:lineRule="exact"/>
        <w:ind w:firstLine="632" w:firstLineChars="200"/>
        <w:rPr>
          <w:rFonts w:eastAsia="黑体"/>
          <w:kern w:val="0"/>
        </w:rPr>
      </w:pPr>
      <w:r>
        <w:rPr>
          <w:rFonts w:eastAsia="黑体"/>
          <w:kern w:val="0"/>
        </w:rPr>
        <w:t>三、荔湾区（</w:t>
      </w:r>
      <w:r>
        <w:rPr>
          <w:rFonts w:hint="eastAsia" w:eastAsia="黑体"/>
          <w:kern w:val="0"/>
        </w:rPr>
        <w:t>8</w:t>
      </w:r>
      <w:r>
        <w:rPr>
          <w:rFonts w:eastAsia="黑体"/>
          <w:kern w:val="0"/>
        </w:rPr>
        <w:t>个）</w:t>
      </w:r>
    </w:p>
    <w:p>
      <w:pPr>
        <w:widowControl/>
        <w:tabs>
          <w:tab w:val="left" w:pos="2633"/>
        </w:tabs>
        <w:adjustRightInd w:val="0"/>
        <w:snapToGrid w:val="0"/>
        <w:spacing w:line="600" w:lineRule="exact"/>
        <w:ind w:firstLine="632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广州市荔湾区宝盛中英文实验幼儿园、广州市万科金色荔苑物业公司、广州市凝沁教育咨询有限公司、广州教育物业管理有限公司、广州雅宇物业管理有限公司、国寿（广东）物业管理有限公司、广州市荔湾区金宝养老院、广州市来穗人员服务管理中心</w:t>
      </w:r>
    </w:p>
    <w:p>
      <w:pPr>
        <w:widowControl/>
        <w:tabs>
          <w:tab w:val="left" w:pos="2633"/>
        </w:tabs>
        <w:adjustRightInd w:val="0"/>
        <w:snapToGrid w:val="0"/>
        <w:spacing w:line="580" w:lineRule="exact"/>
        <w:ind w:firstLine="632" w:firstLineChars="200"/>
        <w:rPr>
          <w:rFonts w:eastAsia="黑体"/>
          <w:kern w:val="0"/>
        </w:rPr>
      </w:pPr>
      <w:r>
        <w:rPr>
          <w:rFonts w:hint="eastAsia" w:eastAsia="黑体"/>
          <w:kern w:val="0"/>
        </w:rPr>
        <w:t>四</w:t>
      </w:r>
      <w:r>
        <w:rPr>
          <w:rFonts w:eastAsia="黑体"/>
          <w:kern w:val="0"/>
        </w:rPr>
        <w:t>、白云区（</w:t>
      </w:r>
      <w:r>
        <w:rPr>
          <w:rFonts w:hint="eastAsia" w:eastAsia="黑体"/>
          <w:kern w:val="0"/>
        </w:rPr>
        <w:t>11</w:t>
      </w:r>
      <w:r>
        <w:rPr>
          <w:rFonts w:eastAsia="黑体"/>
          <w:kern w:val="0"/>
        </w:rPr>
        <w:t>个）</w:t>
      </w:r>
    </w:p>
    <w:p>
      <w:pPr>
        <w:widowControl/>
        <w:tabs>
          <w:tab w:val="left" w:pos="2633"/>
        </w:tabs>
        <w:adjustRightInd w:val="0"/>
        <w:snapToGrid w:val="0"/>
        <w:spacing w:line="600" w:lineRule="exact"/>
        <w:ind w:firstLine="632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白云区东辉小学、白云区松州街松南村幼儿园、白云区华宇苑幼儿园、白云区棠景街金迪社区居委会、棠景街水边社区居委会、广东鸿粤汽车销售集团有限公司、广州南菱汽车股份有限公司、清湖南社区居委会、平沙南社区居委会、白云区新市街西街社区居委会、白云区石井街金碧新城社区居委会</w:t>
      </w:r>
    </w:p>
    <w:p>
      <w:pPr>
        <w:tabs>
          <w:tab w:val="left" w:pos="2633"/>
        </w:tabs>
        <w:adjustRightInd w:val="0"/>
        <w:snapToGrid w:val="0"/>
        <w:spacing w:line="580" w:lineRule="exact"/>
        <w:ind w:firstLine="632" w:firstLineChars="200"/>
        <w:rPr>
          <w:rFonts w:eastAsia="黑体"/>
          <w:kern w:val="0"/>
        </w:rPr>
      </w:pPr>
      <w:r>
        <w:rPr>
          <w:rFonts w:hint="eastAsia" w:eastAsia="黑体"/>
          <w:kern w:val="0"/>
        </w:rPr>
        <w:t>五</w:t>
      </w:r>
      <w:r>
        <w:rPr>
          <w:rFonts w:eastAsia="黑体"/>
          <w:kern w:val="0"/>
        </w:rPr>
        <w:t>、黄埔区（</w:t>
      </w:r>
      <w:r>
        <w:rPr>
          <w:rFonts w:hint="eastAsia" w:eastAsia="黑体"/>
          <w:kern w:val="0"/>
        </w:rPr>
        <w:t>8</w:t>
      </w:r>
      <w:r>
        <w:rPr>
          <w:rFonts w:eastAsia="黑体"/>
          <w:kern w:val="0"/>
        </w:rPr>
        <w:t>个）</w:t>
      </w:r>
    </w:p>
    <w:p>
      <w:pPr>
        <w:widowControl/>
        <w:tabs>
          <w:tab w:val="left" w:pos="2633"/>
        </w:tabs>
        <w:adjustRightInd w:val="0"/>
        <w:snapToGrid w:val="0"/>
        <w:spacing w:line="600" w:lineRule="exact"/>
        <w:ind w:firstLine="632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广州市黄埔区金丽园幼儿园、广州市黄埔丰乐幼儿园、广州开发区第二幼儿园（中心园）、广州市黄埔区珠江嘉园瑞兴幼儿园、广州七喜企业孵化器有限公司、万科幸福誉物业服务中心、广州市黄埔区南岗街康南社区居民委员会、广州市黄埔区南岗街尚城社区居民委员会</w:t>
      </w:r>
    </w:p>
    <w:p>
      <w:pPr>
        <w:widowControl/>
        <w:tabs>
          <w:tab w:val="left" w:pos="2633"/>
        </w:tabs>
        <w:adjustRightInd w:val="0"/>
        <w:snapToGrid w:val="0"/>
        <w:spacing w:line="580" w:lineRule="exact"/>
        <w:ind w:firstLine="630"/>
        <w:rPr>
          <w:rFonts w:eastAsia="黑体"/>
          <w:kern w:val="0"/>
        </w:rPr>
      </w:pPr>
      <w:r>
        <w:rPr>
          <w:rFonts w:hint="eastAsia" w:eastAsia="黑体"/>
          <w:kern w:val="0"/>
        </w:rPr>
        <w:t>六</w:t>
      </w:r>
      <w:r>
        <w:rPr>
          <w:rFonts w:eastAsia="黑体"/>
          <w:kern w:val="0"/>
        </w:rPr>
        <w:t>、花都区（</w:t>
      </w:r>
      <w:r>
        <w:rPr>
          <w:rFonts w:hint="eastAsia" w:eastAsia="黑体"/>
          <w:kern w:val="0"/>
        </w:rPr>
        <w:t>14</w:t>
      </w:r>
      <w:r>
        <w:rPr>
          <w:rFonts w:eastAsia="黑体"/>
          <w:kern w:val="0"/>
        </w:rPr>
        <w:t>个）</w:t>
      </w:r>
    </w:p>
    <w:p>
      <w:pPr>
        <w:widowControl/>
        <w:tabs>
          <w:tab w:val="left" w:pos="2633"/>
        </w:tabs>
        <w:adjustRightInd w:val="0"/>
        <w:snapToGrid w:val="0"/>
        <w:spacing w:line="600" w:lineRule="exact"/>
        <w:ind w:firstLine="632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广州市花都区卓越幼儿园有限公司、广州市花都区花城街兰花社区居民委员会、广州市花都区保利花城幼儿园、广州市花都区秀全街花港社区居民委员会、广州市花都区秀全街学府社区居民委员会、广州市花都区新雅街东莞村民委员会、广州市花都区花东镇凤岗村民委员会、广州市花都区花山镇童乐幼儿园、广州市花都区花山镇万科热橙幼儿园、广州市花都区梯面镇联民村民委员会、广州市花都区狮岭镇联星村民委员会、广州市花都区炭步镇茶塘村民委员会、广州市花都区赤坭镇华贵路艺术幼儿园、广州风神汽车有限公司</w:t>
      </w:r>
    </w:p>
    <w:p>
      <w:pPr>
        <w:widowControl/>
        <w:tabs>
          <w:tab w:val="left" w:pos="2633"/>
        </w:tabs>
        <w:adjustRightInd w:val="0"/>
        <w:snapToGrid w:val="0"/>
        <w:spacing w:line="580" w:lineRule="exact"/>
        <w:ind w:firstLine="632" w:firstLineChars="200"/>
        <w:rPr>
          <w:rFonts w:eastAsia="黑体"/>
          <w:kern w:val="0"/>
        </w:rPr>
      </w:pPr>
      <w:r>
        <w:rPr>
          <w:rFonts w:hint="eastAsia" w:eastAsia="黑体"/>
          <w:kern w:val="0"/>
        </w:rPr>
        <w:t>七</w:t>
      </w:r>
      <w:r>
        <w:rPr>
          <w:rFonts w:eastAsia="黑体"/>
          <w:kern w:val="0"/>
        </w:rPr>
        <w:t>、南沙区（</w:t>
      </w:r>
      <w:r>
        <w:rPr>
          <w:rFonts w:hint="eastAsia" w:eastAsia="黑体"/>
          <w:kern w:val="0"/>
        </w:rPr>
        <w:t>19</w:t>
      </w:r>
      <w:r>
        <w:rPr>
          <w:rFonts w:eastAsia="黑体"/>
          <w:kern w:val="0"/>
        </w:rPr>
        <w:t>个）</w:t>
      </w:r>
    </w:p>
    <w:p>
      <w:pPr>
        <w:widowControl/>
        <w:tabs>
          <w:tab w:val="left" w:pos="2633"/>
        </w:tabs>
        <w:adjustRightInd w:val="0"/>
        <w:snapToGrid w:val="0"/>
        <w:spacing w:line="600" w:lineRule="exact"/>
        <w:ind w:firstLine="632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广州市南沙区莲溪小学、广州市南沙区黄阁镇莲溪村民委员会、广州市南沙区黄阁镇莲溪村卫生站、广州市南沙区横沥镇网格化服务管理中心、广东宏德科技物业有限公司水云雅苑物业服务中心、龙穴街党群服务中心、广州市南沙区新阳光幼儿园、广州市南沙区凯旋幼儿园、广州市南沙区加美幼儿园、广州市南沙区大岗镇灵山社区居民委员会、广州市南沙区大岗镇东流村民委员会、广州市南沙区大岗镇潭洲社区居民委员会、广州硕果物业管理有限公司、广州万港咨询服务有限公司、广州市南沙区万顷沙镇红湖村民委员会、广州市南沙区万顷沙镇教育文化体育中心、广州市南沙区东涌镇大稳村民委员会、广州市南沙区东涌镇石基村民委员会、广州市南沙区东涌镇东涌村民委员会</w:t>
      </w:r>
    </w:p>
    <w:p/>
    <w:sectPr>
      <w:headerReference r:id="rId3" w:type="first"/>
      <w:footerReference r:id="rId4" w:type="default"/>
      <w:footerReference r:id="rId5" w:type="even"/>
      <w:pgSz w:w="11906" w:h="16838"/>
      <w:pgMar w:top="2098" w:right="1474" w:bottom="1985" w:left="1588" w:header="851" w:footer="141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—</w:t>
    </w:r>
  </w:p>
  <w:p>
    <w:pPr>
      <w:pStyle w:val="2"/>
      <w:framePr w:wrap="around" w:vAnchor="text" w:hAnchor="margin" w:xAlign="outside" w:y="1"/>
      <w:ind w:right="360" w:firstLine="360"/>
      <w:rPr>
        <w:rStyle w:val="6"/>
        <w:rFonts w:hint="eastAsia"/>
        <w:sz w:val="28"/>
        <w:szCs w:val="28"/>
      </w:rPr>
    </w:pPr>
  </w:p>
  <w:p>
    <w:pPr>
      <w:pStyle w:val="2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0500A"/>
    <w:rsid w:val="4A60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2019-11-18T03:30:00Z</dcterms:created>
  <dc:creator>尹妍心</dc:creator>
  <cp:lastModifiedBy>尹妍心</cp:lastModifiedBy>
  <dcterms:modified xsi:type="dcterms:W3CDTF">2019-11-18T03:31:08Z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